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D20F8" w14:textId="51700AD5" w:rsidR="008C0E7B" w:rsidRDefault="005A385E">
      <w:pPr>
        <w:rPr>
          <w:b/>
        </w:rPr>
      </w:pPr>
      <w:r w:rsidRPr="005A385E">
        <w:rPr>
          <w:b/>
        </w:rPr>
        <w:t xml:space="preserve">Kuka </w:t>
      </w:r>
      <w:r w:rsidR="00BC5E72">
        <w:rPr>
          <w:b/>
        </w:rPr>
        <w:t>j</w:t>
      </w:r>
      <w:r w:rsidRPr="005A385E">
        <w:rPr>
          <w:b/>
        </w:rPr>
        <w:t xml:space="preserve">ää </w:t>
      </w:r>
      <w:r w:rsidR="00BC5E72">
        <w:rPr>
          <w:b/>
        </w:rPr>
        <w:t>t</w:t>
      </w:r>
      <w:r w:rsidRPr="005A385E">
        <w:rPr>
          <w:b/>
        </w:rPr>
        <w:t xml:space="preserve">asa-arvon </w:t>
      </w:r>
      <w:r w:rsidR="00BC5E72">
        <w:rPr>
          <w:b/>
        </w:rPr>
        <w:t>u</w:t>
      </w:r>
      <w:r w:rsidRPr="005A385E">
        <w:rPr>
          <w:b/>
        </w:rPr>
        <w:t xml:space="preserve">lkopuolelle </w:t>
      </w:r>
      <w:r w:rsidR="00BC5E72">
        <w:rPr>
          <w:b/>
        </w:rPr>
        <w:t>h</w:t>
      </w:r>
      <w:r w:rsidRPr="005A385E">
        <w:rPr>
          <w:b/>
        </w:rPr>
        <w:t>uippu-urheilussa?</w:t>
      </w:r>
      <w:r>
        <w:rPr>
          <w:b/>
        </w:rPr>
        <w:t xml:space="preserve"> </w:t>
      </w:r>
      <w:r w:rsidR="003C36C7">
        <w:rPr>
          <w:b/>
        </w:rPr>
        <w:t>-tutkimushanke</w:t>
      </w:r>
      <w:r w:rsidR="00335EDD">
        <w:rPr>
          <w:b/>
        </w:rPr>
        <w:t xml:space="preserve"> välir</w:t>
      </w:r>
      <w:r w:rsidR="00FE32EE">
        <w:rPr>
          <w:b/>
        </w:rPr>
        <w:t>a</w:t>
      </w:r>
      <w:r w:rsidR="00335EDD">
        <w:rPr>
          <w:b/>
        </w:rPr>
        <w:t>portti</w:t>
      </w:r>
    </w:p>
    <w:p w14:paraId="0C3E8755" w14:textId="77777777" w:rsidR="00BC5E72" w:rsidRDefault="00BC5E72">
      <w:pPr>
        <w:rPr>
          <w:b/>
        </w:rPr>
      </w:pPr>
    </w:p>
    <w:p w14:paraId="3FFCDA72" w14:textId="77777777" w:rsidR="00302E51" w:rsidRDefault="00302E51" w:rsidP="00302E51">
      <w:pPr>
        <w:rPr>
          <w:shd w:val="clear" w:color="auto" w:fill="FFFFFF"/>
        </w:rPr>
      </w:pPr>
    </w:p>
    <w:p w14:paraId="70D72138" w14:textId="6AD60B60" w:rsidR="008E36AF" w:rsidRDefault="00F07A14" w:rsidP="00302E51">
      <w:pPr>
        <w:rPr>
          <w:shd w:val="clear" w:color="auto" w:fill="FFFFFF"/>
        </w:rPr>
      </w:pPr>
      <w:r>
        <w:rPr>
          <w:shd w:val="clear" w:color="auto" w:fill="FFFFFF"/>
        </w:rPr>
        <w:t>O</w:t>
      </w:r>
      <w:r w:rsidR="00302E51" w:rsidRPr="00431213">
        <w:rPr>
          <w:shd w:val="clear" w:color="auto" w:fill="FFFFFF"/>
        </w:rPr>
        <w:t xml:space="preserve">petus- ja kulttuuriministeriön </w:t>
      </w:r>
      <w:r>
        <w:rPr>
          <w:shd w:val="clear" w:color="auto" w:fill="FFFFFF"/>
        </w:rPr>
        <w:t>(</w:t>
      </w:r>
      <w:r w:rsidR="00D00B3A">
        <w:rPr>
          <w:shd w:val="clear" w:color="auto" w:fill="FFFFFF"/>
        </w:rPr>
        <w:t xml:space="preserve">Lehtonen et al., </w:t>
      </w:r>
      <w:r>
        <w:rPr>
          <w:shd w:val="clear" w:color="auto" w:fill="FFFFFF"/>
        </w:rPr>
        <w:t xml:space="preserve">2022) </w:t>
      </w:r>
      <w:r w:rsidR="00302E51" w:rsidRPr="00431213">
        <w:rPr>
          <w:shd w:val="clear" w:color="auto" w:fill="FFFFFF"/>
        </w:rPr>
        <w:t xml:space="preserve">tekemä suomalaisen liikuntakulttuurin arviointi osoittaa, että </w:t>
      </w:r>
      <w:r w:rsidR="00302E51">
        <w:rPr>
          <w:shd w:val="clear" w:color="auto" w:fill="FFFFFF"/>
        </w:rPr>
        <w:t>sukupuolten tasa-arvo urheilussa etenee hyvin hitaasti.</w:t>
      </w:r>
      <w:r w:rsidR="003C36C7">
        <w:rPr>
          <w:shd w:val="clear" w:color="auto" w:fill="FFFFFF"/>
        </w:rPr>
        <w:t xml:space="preserve"> Tutkimushankkeemme </w:t>
      </w:r>
      <w:r w:rsidR="008E36AF">
        <w:rPr>
          <w:shd w:val="clear" w:color="auto" w:fill="FFFFFF"/>
        </w:rPr>
        <w:t xml:space="preserve">kysyy, </w:t>
      </w:r>
      <w:r w:rsidR="003C36C7">
        <w:rPr>
          <w:shd w:val="clear" w:color="auto" w:fill="FFFFFF"/>
        </w:rPr>
        <w:t xml:space="preserve">miksi näin on ja millaisin tavoin tasa-arvoa </w:t>
      </w:r>
      <w:r w:rsidR="008E36AF">
        <w:rPr>
          <w:shd w:val="clear" w:color="auto" w:fill="FFFFFF"/>
        </w:rPr>
        <w:t>erityisesti huippu-</w:t>
      </w:r>
      <w:r w:rsidR="003C36C7">
        <w:rPr>
          <w:shd w:val="clear" w:color="auto" w:fill="FFFFFF"/>
        </w:rPr>
        <w:t>urheilussa tulisi edistää. Ehdotamme</w:t>
      </w:r>
      <w:r w:rsidR="008E36AF">
        <w:rPr>
          <w:shd w:val="clear" w:color="auto" w:fill="FFFFFF"/>
        </w:rPr>
        <w:t xml:space="preserve"> tutkimuksessa</w:t>
      </w:r>
      <w:r w:rsidR="003C36C7">
        <w:rPr>
          <w:shd w:val="clear" w:color="auto" w:fill="FFFFFF"/>
        </w:rPr>
        <w:t>, että sukupuolen lisäksi myös mu</w:t>
      </w:r>
      <w:r w:rsidR="00293731">
        <w:rPr>
          <w:shd w:val="clear" w:color="auto" w:fill="FFFFFF"/>
        </w:rPr>
        <w:t>ita</w:t>
      </w:r>
      <w:r w:rsidR="003C36C7">
        <w:rPr>
          <w:shd w:val="clear" w:color="auto" w:fill="FFFFFF"/>
        </w:rPr>
        <w:t xml:space="preserve"> risteäv</w:t>
      </w:r>
      <w:r w:rsidR="00293731">
        <w:rPr>
          <w:shd w:val="clear" w:color="auto" w:fill="FFFFFF"/>
        </w:rPr>
        <w:t>iä</w:t>
      </w:r>
      <w:r w:rsidR="008E36AF">
        <w:rPr>
          <w:shd w:val="clear" w:color="auto" w:fill="FFFFFF"/>
        </w:rPr>
        <w:t xml:space="preserve"> identiteetti</w:t>
      </w:r>
      <w:r w:rsidR="003C36C7">
        <w:rPr>
          <w:shd w:val="clear" w:color="auto" w:fill="FFFFFF"/>
        </w:rPr>
        <w:t>tekij</w:t>
      </w:r>
      <w:r w:rsidR="00293731">
        <w:rPr>
          <w:shd w:val="clear" w:color="auto" w:fill="FFFFFF"/>
        </w:rPr>
        <w:t>öitä tulisi</w:t>
      </w:r>
      <w:r w:rsidR="003C36C7">
        <w:rPr>
          <w:shd w:val="clear" w:color="auto" w:fill="FFFFFF"/>
        </w:rPr>
        <w:t xml:space="preserve"> </w:t>
      </w:r>
      <w:r w:rsidR="00293731">
        <w:rPr>
          <w:shd w:val="clear" w:color="auto" w:fill="FFFFFF"/>
        </w:rPr>
        <w:t>tarkastella</w:t>
      </w:r>
      <w:r w:rsidR="003C36C7">
        <w:rPr>
          <w:shd w:val="clear" w:color="auto" w:fill="FFFFFF"/>
        </w:rPr>
        <w:t xml:space="preserve">, </w:t>
      </w:r>
      <w:r w:rsidR="00293731">
        <w:rPr>
          <w:shd w:val="clear" w:color="auto" w:fill="FFFFFF"/>
        </w:rPr>
        <w:t>jotta</w:t>
      </w:r>
      <w:r w:rsidR="003C36C7">
        <w:rPr>
          <w:shd w:val="clear" w:color="auto" w:fill="FFFFFF"/>
        </w:rPr>
        <w:t xml:space="preserve"> mahdollisuus</w:t>
      </w:r>
      <w:r w:rsidR="00293731">
        <w:rPr>
          <w:shd w:val="clear" w:color="auto" w:fill="FFFFFF"/>
        </w:rPr>
        <w:t xml:space="preserve"> urheilu-ura</w:t>
      </w:r>
      <w:r w:rsidR="00DE26F1">
        <w:rPr>
          <w:shd w:val="clear" w:color="auto" w:fill="FFFFFF"/>
        </w:rPr>
        <w:t>n tekemiseen olisi</w:t>
      </w:r>
      <w:r w:rsidR="00293731">
        <w:rPr>
          <w:shd w:val="clear" w:color="auto" w:fill="FFFFFF"/>
        </w:rPr>
        <w:t xml:space="preserve"> Suomessa</w:t>
      </w:r>
      <w:r w:rsidR="00DE26F1">
        <w:rPr>
          <w:shd w:val="clear" w:color="auto" w:fill="FFFFFF"/>
        </w:rPr>
        <w:t xml:space="preserve"> nykyistä laajempi ja jotta urheilijoiden hyvinvointia ja urheilu-uralla jaksamista </w:t>
      </w:r>
      <w:r w:rsidR="008E36AF">
        <w:rPr>
          <w:shd w:val="clear" w:color="auto" w:fill="FFFFFF"/>
        </w:rPr>
        <w:t xml:space="preserve">voitaisiin </w:t>
      </w:r>
      <w:r w:rsidR="00150244">
        <w:rPr>
          <w:shd w:val="clear" w:color="auto" w:fill="FFFFFF"/>
        </w:rPr>
        <w:t xml:space="preserve">konkreettisesti </w:t>
      </w:r>
      <w:r w:rsidR="008E36AF">
        <w:rPr>
          <w:shd w:val="clear" w:color="auto" w:fill="FFFFFF"/>
        </w:rPr>
        <w:t>parantaa tasa-arvoisemman urheilun luomiseksi.</w:t>
      </w:r>
    </w:p>
    <w:p w14:paraId="4097C6CF" w14:textId="77777777" w:rsidR="003C36C7" w:rsidRDefault="003C36C7" w:rsidP="00302E51">
      <w:pPr>
        <w:rPr>
          <w:shd w:val="clear" w:color="auto" w:fill="FFFFFF"/>
        </w:rPr>
      </w:pPr>
    </w:p>
    <w:p w14:paraId="29EC3B09" w14:textId="27EF02CE" w:rsidR="00302E51" w:rsidRDefault="003C36C7" w:rsidP="00302E51">
      <w:pPr>
        <w:rPr>
          <w:shd w:val="clear" w:color="auto" w:fill="FFFFFF"/>
        </w:rPr>
      </w:pPr>
      <w:r>
        <w:rPr>
          <w:shd w:val="clear" w:color="auto" w:fill="FFFFFF"/>
        </w:rPr>
        <w:t>T</w:t>
      </w:r>
      <w:r w:rsidR="00302E51">
        <w:rPr>
          <w:shd w:val="clear" w:color="auto" w:fill="FFFFFF"/>
        </w:rPr>
        <w:t xml:space="preserve">utkimushankkeessa </w:t>
      </w:r>
      <w:r w:rsidR="008E36AF">
        <w:rPr>
          <w:shd w:val="clear" w:color="auto" w:fill="FFFFFF"/>
        </w:rPr>
        <w:t>analysoimme</w:t>
      </w:r>
      <w:r w:rsidR="00302E51">
        <w:rPr>
          <w:shd w:val="clear" w:color="auto" w:fill="FFFFFF"/>
        </w:rPr>
        <w:t xml:space="preserve"> sekä sukupuol</w:t>
      </w:r>
      <w:r w:rsidR="00150244">
        <w:rPr>
          <w:shd w:val="clear" w:color="auto" w:fill="FFFFFF"/>
        </w:rPr>
        <w:t>ten</w:t>
      </w:r>
      <w:r w:rsidR="008E36AF">
        <w:rPr>
          <w:shd w:val="clear" w:color="auto" w:fill="FFFFFF"/>
        </w:rPr>
        <w:t>,</w:t>
      </w:r>
      <w:r w:rsidR="00302E51">
        <w:rPr>
          <w:shd w:val="clear" w:color="auto" w:fill="FFFFFF"/>
        </w:rPr>
        <w:t xml:space="preserve"> että </w:t>
      </w:r>
    </w:p>
    <w:p w14:paraId="1456D9B8" w14:textId="2B7AA3FD" w:rsidR="00302E51" w:rsidRDefault="00302E51" w:rsidP="00302E51">
      <w:pPr>
        <w:rPr>
          <w:shd w:val="clear" w:color="auto" w:fill="FFFFFF"/>
        </w:rPr>
      </w:pPr>
      <w:r>
        <w:rPr>
          <w:shd w:val="clear" w:color="auto" w:fill="FFFFFF"/>
        </w:rPr>
        <w:t>sukupolvien välisiä muutoksia merkityksissä</w:t>
      </w:r>
      <w:r w:rsidR="00576D40">
        <w:rPr>
          <w:shd w:val="clear" w:color="auto" w:fill="FFFFFF"/>
        </w:rPr>
        <w:t xml:space="preserve"> ja arvostuksissa</w:t>
      </w:r>
      <w:r>
        <w:rPr>
          <w:shd w:val="clear" w:color="auto" w:fill="FFFFFF"/>
        </w:rPr>
        <w:t xml:space="preserve">, jotka liittyvät urheilijan identiteettiin. </w:t>
      </w:r>
      <w:r w:rsidR="00F07A14">
        <w:rPr>
          <w:shd w:val="clear" w:color="auto" w:fill="FFFFFF"/>
        </w:rPr>
        <w:t>Tutkimu</w:t>
      </w:r>
      <w:r w:rsidR="003C36C7">
        <w:rPr>
          <w:shd w:val="clear" w:color="auto" w:fill="FFFFFF"/>
        </w:rPr>
        <w:t>ksessa</w:t>
      </w:r>
      <w:r w:rsidR="00F07A14">
        <w:rPr>
          <w:shd w:val="clear" w:color="auto" w:fill="FFFFFF"/>
        </w:rPr>
        <w:t xml:space="preserve"> </w:t>
      </w:r>
      <w:r w:rsidR="008E36AF">
        <w:rPr>
          <w:shd w:val="clear" w:color="auto" w:fill="FFFFFF"/>
        </w:rPr>
        <w:t>tarkastelemme</w:t>
      </w:r>
      <w:r>
        <w:rPr>
          <w:shd w:val="clear" w:color="auto" w:fill="FFFFFF"/>
        </w:rPr>
        <w:t xml:space="preserve"> si</w:t>
      </w:r>
      <w:r w:rsidR="008E36AF">
        <w:rPr>
          <w:shd w:val="clear" w:color="auto" w:fill="FFFFFF"/>
        </w:rPr>
        <w:t>tä</w:t>
      </w:r>
      <w:r>
        <w:rPr>
          <w:shd w:val="clear" w:color="auto" w:fill="FFFFFF"/>
        </w:rPr>
        <w:t>, millaiset identiteetit ja kokemukset suljetaan huippu-urheilun ulkopuolelle</w:t>
      </w:r>
      <w:r w:rsidR="00576D40">
        <w:rPr>
          <w:shd w:val="clear" w:color="auto" w:fill="FFFFFF"/>
        </w:rPr>
        <w:t xml:space="preserve"> ja miten</w:t>
      </w:r>
      <w:r>
        <w:rPr>
          <w:shd w:val="clear" w:color="auto" w:fill="FFFFFF"/>
        </w:rPr>
        <w:t>. Sukupuolen ja iän lisäksi myös monet muut tekijät</w:t>
      </w:r>
      <w:r w:rsidR="00047252">
        <w:rPr>
          <w:shd w:val="clear" w:color="auto" w:fill="FFFFFF"/>
        </w:rPr>
        <w:t>,</w:t>
      </w:r>
      <w:r>
        <w:rPr>
          <w:shd w:val="clear" w:color="auto" w:fill="FFFFFF"/>
        </w:rPr>
        <w:t xml:space="preserve"> </w:t>
      </w:r>
      <w:r w:rsidR="00F07A14">
        <w:rPr>
          <w:shd w:val="clear" w:color="auto" w:fill="FFFFFF"/>
        </w:rPr>
        <w:t xml:space="preserve">kuten </w:t>
      </w:r>
      <w:r w:rsidR="008E36AF">
        <w:rPr>
          <w:shd w:val="clear" w:color="auto" w:fill="FFFFFF"/>
        </w:rPr>
        <w:t xml:space="preserve">esimerkiksi </w:t>
      </w:r>
      <w:r w:rsidR="003C36C7">
        <w:rPr>
          <w:shd w:val="clear" w:color="auto" w:fill="FFFFFF"/>
        </w:rPr>
        <w:t xml:space="preserve">taloudelliset seikat, vähemmistöihin kuuluminen ja vanhemmuus </w:t>
      </w:r>
      <w:r>
        <w:rPr>
          <w:shd w:val="clear" w:color="auto" w:fill="FFFFFF"/>
        </w:rPr>
        <w:t>ovat osallisena eriarvoisuuden luomisessa</w:t>
      </w:r>
      <w:r w:rsidR="00047252">
        <w:rPr>
          <w:shd w:val="clear" w:color="auto" w:fill="FFFFFF"/>
        </w:rPr>
        <w:t xml:space="preserve"> ja monen kohdalla kaventavat</w:t>
      </w:r>
      <w:r>
        <w:rPr>
          <w:shd w:val="clear" w:color="auto" w:fill="FFFFFF"/>
        </w:rPr>
        <w:t xml:space="preserve"> urheilu-uran tekemisen mahdollisuuksia Suomessa. Tutkimuksen tuloksena tuotetaan</w:t>
      </w:r>
      <w:r w:rsidR="00CC4DE3">
        <w:rPr>
          <w:shd w:val="clear" w:color="auto" w:fill="FFFFFF"/>
        </w:rPr>
        <w:t xml:space="preserve"> tietoa </w:t>
      </w:r>
      <w:r w:rsidR="00047252">
        <w:rPr>
          <w:shd w:val="clear" w:color="auto" w:fill="FFFFFF"/>
        </w:rPr>
        <w:t>urheilu-urilla koetusta epätasa-arvosta</w:t>
      </w:r>
      <w:r w:rsidR="00CC4DE3">
        <w:rPr>
          <w:shd w:val="clear" w:color="auto" w:fill="FFFFFF"/>
        </w:rPr>
        <w:t xml:space="preserve"> sekä</w:t>
      </w:r>
      <w:r>
        <w:rPr>
          <w:shd w:val="clear" w:color="auto" w:fill="FFFFFF"/>
        </w:rPr>
        <w:t xml:space="preserve"> käytännönläheisiä suosituksia sille, miten sosiaalista oikeudenmukaisuutta ja tasa-arvoa urheilussa voidaan edistää.</w:t>
      </w:r>
    </w:p>
    <w:p w14:paraId="69B48179" w14:textId="77777777" w:rsidR="00302E51" w:rsidRDefault="00302E51" w:rsidP="00302E51">
      <w:pPr>
        <w:rPr>
          <w:shd w:val="clear" w:color="auto" w:fill="FFFFFF"/>
        </w:rPr>
      </w:pPr>
    </w:p>
    <w:p w14:paraId="57B7E7A0" w14:textId="2FAB8C5B" w:rsidR="002E32C7" w:rsidRDefault="00F07A14">
      <w:pPr>
        <w:rPr>
          <w:shd w:val="clear" w:color="auto" w:fill="FFFFFF"/>
        </w:rPr>
      </w:pPr>
      <w:r>
        <w:rPr>
          <w:shd w:val="clear" w:color="auto" w:fill="FFFFFF"/>
        </w:rPr>
        <w:t>Tutkimukse</w:t>
      </w:r>
      <w:r w:rsidR="003C36C7">
        <w:rPr>
          <w:shd w:val="clear" w:color="auto" w:fill="FFFFFF"/>
        </w:rPr>
        <w:t>n ensimmäisessä vaiheessa</w:t>
      </w:r>
      <w:r>
        <w:rPr>
          <w:shd w:val="clear" w:color="auto" w:fill="FFFFFF"/>
        </w:rPr>
        <w:t xml:space="preserve"> toteutettiin kysely, jossa eri rooleissa suomalaisessa urheilussa mukana olleilta ihmisiltä kysyttiin </w:t>
      </w:r>
      <w:r w:rsidR="003C36C7">
        <w:rPr>
          <w:shd w:val="clear" w:color="auto" w:fill="FFFFFF"/>
        </w:rPr>
        <w:t xml:space="preserve">laajasti </w:t>
      </w:r>
      <w:r>
        <w:rPr>
          <w:shd w:val="clear" w:color="auto" w:fill="FFFFFF"/>
        </w:rPr>
        <w:t xml:space="preserve">heidän näkemyksiään ja kokemuksiaan </w:t>
      </w:r>
      <w:r w:rsidR="003579FD">
        <w:rPr>
          <w:shd w:val="clear" w:color="auto" w:fill="FFFFFF"/>
        </w:rPr>
        <w:t>huippu-</w:t>
      </w:r>
      <w:r>
        <w:rPr>
          <w:shd w:val="clear" w:color="auto" w:fill="FFFFFF"/>
        </w:rPr>
        <w:t>urheilussa koetu</w:t>
      </w:r>
      <w:r w:rsidR="003579FD">
        <w:rPr>
          <w:shd w:val="clear" w:color="auto" w:fill="FFFFFF"/>
        </w:rPr>
        <w:t>sta eriarvoisuudesta</w:t>
      </w:r>
      <w:r>
        <w:rPr>
          <w:shd w:val="clear" w:color="auto" w:fill="FFFFFF"/>
        </w:rPr>
        <w:t xml:space="preserve">. </w:t>
      </w:r>
      <w:r w:rsidR="003C36C7">
        <w:rPr>
          <w:shd w:val="clear" w:color="auto" w:fill="FFFFFF"/>
        </w:rPr>
        <w:t>Kysely toteutettiin syksyllä 2023</w:t>
      </w:r>
      <w:r w:rsidR="00915D1F">
        <w:rPr>
          <w:shd w:val="clear" w:color="auto" w:fill="FFFFFF"/>
        </w:rPr>
        <w:t>.</w:t>
      </w:r>
      <w:r w:rsidR="00D06EB3">
        <w:rPr>
          <w:shd w:val="clear" w:color="auto" w:fill="FFFFFF"/>
        </w:rPr>
        <w:t xml:space="preserve"> </w:t>
      </w:r>
      <w:r w:rsidR="00915D1F">
        <w:rPr>
          <w:shd w:val="clear" w:color="auto" w:fill="FFFFFF"/>
        </w:rPr>
        <w:t>K</w:t>
      </w:r>
      <w:r w:rsidR="00D06EB3">
        <w:rPr>
          <w:shd w:val="clear" w:color="auto" w:fill="FFFFFF"/>
        </w:rPr>
        <w:t>ysely</w:t>
      </w:r>
      <w:r w:rsidR="00D77F0A">
        <w:rPr>
          <w:shd w:val="clear" w:color="auto" w:fill="FFFFFF"/>
        </w:rPr>
        <w:t>n tavoitti</w:t>
      </w:r>
      <w:r w:rsidR="00D06EB3">
        <w:rPr>
          <w:shd w:val="clear" w:color="auto" w:fill="FFFFFF"/>
        </w:rPr>
        <w:t xml:space="preserve"> </w:t>
      </w:r>
      <w:r w:rsidR="000D5FA3">
        <w:rPr>
          <w:shd w:val="clear" w:color="auto" w:fill="FFFFFF"/>
        </w:rPr>
        <w:t>1286</w:t>
      </w:r>
      <w:r w:rsidR="008E36AF">
        <w:rPr>
          <w:shd w:val="clear" w:color="auto" w:fill="FFFFFF"/>
        </w:rPr>
        <w:t xml:space="preserve"> henkilöä</w:t>
      </w:r>
      <w:r w:rsidR="00915D1F">
        <w:rPr>
          <w:shd w:val="clear" w:color="auto" w:fill="FFFFFF"/>
        </w:rPr>
        <w:t xml:space="preserve"> ja k</w:t>
      </w:r>
      <w:r w:rsidR="00ED1493">
        <w:rPr>
          <w:shd w:val="clear" w:color="auto" w:fill="FFFFFF"/>
        </w:rPr>
        <w:t>aikkiin kysymyksiin vastasi noin 600 henkilöä.</w:t>
      </w:r>
      <w:r w:rsidR="00FA6576">
        <w:rPr>
          <w:shd w:val="clear" w:color="auto" w:fill="FFFFFF"/>
        </w:rPr>
        <w:t xml:space="preserve"> Vastaajajoukko ei edusta tilastollista väestöjakaumaa</w:t>
      </w:r>
      <w:r w:rsidR="00C825E1">
        <w:rPr>
          <w:shd w:val="clear" w:color="auto" w:fill="FFFFFF"/>
        </w:rPr>
        <w:t>.</w:t>
      </w:r>
    </w:p>
    <w:p w14:paraId="7A359A8A" w14:textId="77777777" w:rsidR="00B177FB" w:rsidRDefault="00B177FB">
      <w:pPr>
        <w:rPr>
          <w:shd w:val="clear" w:color="auto" w:fill="FFFFFF"/>
        </w:rPr>
      </w:pPr>
    </w:p>
    <w:p w14:paraId="08346BDC" w14:textId="5BE0111E" w:rsidR="00F07A14" w:rsidRPr="00431213" w:rsidRDefault="001F37EC">
      <w:pPr>
        <w:rPr>
          <w:b/>
          <w:bCs/>
          <w:shd w:val="clear" w:color="auto" w:fill="FFFFFF"/>
        </w:rPr>
      </w:pPr>
      <w:r w:rsidRPr="00431213">
        <w:rPr>
          <w:b/>
          <w:bCs/>
          <w:shd w:val="clear" w:color="auto" w:fill="FFFFFF"/>
        </w:rPr>
        <w:t>Ketkä kyselyyn vastasivat?</w:t>
      </w:r>
    </w:p>
    <w:p w14:paraId="54B774B7" w14:textId="77777777" w:rsidR="00F07A14" w:rsidRDefault="00F07A14">
      <w:pPr>
        <w:rPr>
          <w:b/>
        </w:rPr>
      </w:pPr>
    </w:p>
    <w:p w14:paraId="6C1BC69D" w14:textId="50AF3B33" w:rsidR="002D3303" w:rsidRDefault="00DF3041" w:rsidP="00436BEF">
      <w:pPr>
        <w:rPr>
          <w:b/>
          <w:bCs/>
        </w:rPr>
      </w:pPr>
      <w:r>
        <w:t>Vastaajat eroteltiin sen mukaan, toimivatko he aktiivisesti urheilun parissa</w:t>
      </w:r>
      <w:r w:rsidR="002D3303" w:rsidRPr="002D3303">
        <w:t xml:space="preserve"> </w:t>
      </w:r>
      <w:r w:rsidR="002D3303">
        <w:t>tällä hetkellä</w:t>
      </w:r>
      <w:r>
        <w:t xml:space="preserve"> vai ovatko he toimineet </w:t>
      </w:r>
      <w:r w:rsidR="002D3303">
        <w:t xml:space="preserve">urheilussa </w:t>
      </w:r>
      <w:r>
        <w:t xml:space="preserve">aikaisemmin. 80 % vastasi toimivansa tällä hetkellä urheilun parissa. </w:t>
      </w:r>
      <w:r w:rsidRPr="00431213">
        <w:rPr>
          <w:b/>
          <w:bCs/>
        </w:rPr>
        <w:t>Tämän aineiston perusteella voidaan siis sanoa, että suurin osa vastaajista on kiinni urheilun arjessa ja ’kenttätason’ käytänteissä</w:t>
      </w:r>
      <w:r>
        <w:rPr>
          <w:b/>
          <w:bCs/>
        </w:rPr>
        <w:t>.</w:t>
      </w:r>
      <w:r w:rsidR="008D65A6">
        <w:rPr>
          <w:b/>
          <w:bCs/>
        </w:rPr>
        <w:t xml:space="preserve"> </w:t>
      </w:r>
    </w:p>
    <w:p w14:paraId="6BA9B5C1" w14:textId="77777777" w:rsidR="002D3303" w:rsidRDefault="002D3303" w:rsidP="00436BEF">
      <w:pPr>
        <w:rPr>
          <w:b/>
          <w:bCs/>
        </w:rPr>
      </w:pPr>
    </w:p>
    <w:p w14:paraId="090BE6CB" w14:textId="3C1B5A25" w:rsidR="00F26A1B" w:rsidRDefault="0039226D" w:rsidP="00436BEF">
      <w:r>
        <w:t>V</w:t>
      </w:r>
      <w:r w:rsidR="008D65A6">
        <w:t>astaajista lähes puolet toimi</w:t>
      </w:r>
      <w:r>
        <w:t xml:space="preserve"> tällä hetkellä naisten urheilussa</w:t>
      </w:r>
      <w:r w:rsidR="008D65A6">
        <w:t xml:space="preserve"> ja kolmasosa miesten urheilussa. </w:t>
      </w:r>
      <w:r>
        <w:t>S</w:t>
      </w:r>
      <w:r w:rsidR="00086FC1">
        <w:t xml:space="preserve">uurin osa </w:t>
      </w:r>
      <w:r w:rsidR="0016754D">
        <w:t>kertoi roolikseen</w:t>
      </w:r>
      <w:r w:rsidR="00A10B01">
        <w:t xml:space="preserve"> (Kuva 1)</w:t>
      </w:r>
      <w:r w:rsidR="0016754D">
        <w:t xml:space="preserve"> urheilijan</w:t>
      </w:r>
      <w:r w:rsidR="00A15935">
        <w:t xml:space="preserve"> (72 %)</w:t>
      </w:r>
      <w:r w:rsidR="0016754D">
        <w:t>.</w:t>
      </w:r>
      <w:r w:rsidR="001A48DC">
        <w:t xml:space="preserve"> Noin kolmannes</w:t>
      </w:r>
      <w:r w:rsidR="00A15935">
        <w:t xml:space="preserve"> (34 %) toimi</w:t>
      </w:r>
      <w:r w:rsidR="001A48DC">
        <w:t xml:space="preserve"> valmentaj</w:t>
      </w:r>
      <w:r w:rsidR="0016754D">
        <w:t>ana</w:t>
      </w:r>
      <w:r w:rsidR="00156B04">
        <w:t>.</w:t>
      </w:r>
      <w:r w:rsidR="001A48DC">
        <w:t xml:space="preserve"> </w:t>
      </w:r>
      <w:r w:rsidR="0016754D">
        <w:t xml:space="preserve"> </w:t>
      </w:r>
      <w:r w:rsidR="00156B04">
        <w:t>14</w:t>
      </w:r>
      <w:r w:rsidR="0016754D">
        <w:t xml:space="preserve"> % vastaajista</w:t>
      </w:r>
      <w:r w:rsidR="00156B04">
        <w:t xml:space="preserve"> toimi</w:t>
      </w:r>
      <w:r w:rsidR="0008738C">
        <w:t xml:space="preserve"> johto/hallinto</w:t>
      </w:r>
      <w:r w:rsidR="00DF3091">
        <w:t>tehtävissä</w:t>
      </w:r>
      <w:r w:rsidR="0008738C">
        <w:t xml:space="preserve"> </w:t>
      </w:r>
      <w:r w:rsidR="00156B04">
        <w:t xml:space="preserve">ja 4 </w:t>
      </w:r>
      <w:r w:rsidR="00A15935">
        <w:t>% asiantuntijarooleissa</w:t>
      </w:r>
      <w:r w:rsidR="00156B04">
        <w:t xml:space="preserve"> (</w:t>
      </w:r>
      <w:r w:rsidR="00A15935">
        <w:t xml:space="preserve">sis. </w:t>
      </w:r>
      <w:r w:rsidR="00156B04">
        <w:t>lää</w:t>
      </w:r>
      <w:r w:rsidR="00A15935">
        <w:t>ketiede, psykologia, ravitsemus ja</w:t>
      </w:r>
      <w:r w:rsidR="00156B04">
        <w:t xml:space="preserve"> kuntotestaus)</w:t>
      </w:r>
      <w:r w:rsidR="0008738C">
        <w:t xml:space="preserve">. </w:t>
      </w:r>
      <w:r w:rsidR="00C24371">
        <w:t>48</w:t>
      </w:r>
      <w:r w:rsidR="0016754D">
        <w:t xml:space="preserve"> % vastaajista ilmoitti toimi</w:t>
      </w:r>
      <w:r w:rsidR="00A15935">
        <w:t>vansa</w:t>
      </w:r>
      <w:r w:rsidR="0016754D">
        <w:t xml:space="preserve"> useammassa kuin yhdessä roolissa.</w:t>
      </w:r>
      <w:r w:rsidR="00A15935">
        <w:t xml:space="preserve"> </w:t>
      </w:r>
      <w:r w:rsidR="001424F1">
        <w:t>Vastaajista suurin ryhmäedusti yleisurheilua (17 %). Seuraavaksi suurin lajiryhmä oli salibandy (14 %). Lentopallon lajikseen ilmoitti7 % ja jääkiekkoa, tanssia sekä suunnistusta edusti kutakin 5 % vastaajista.</w:t>
      </w:r>
    </w:p>
    <w:p w14:paraId="45E4146A" w14:textId="77777777" w:rsidR="00F26A1B" w:rsidRDefault="00F26A1B" w:rsidP="00436BEF"/>
    <w:p w14:paraId="51B3C7F2" w14:textId="58CD36C5" w:rsidR="00436BEF" w:rsidRDefault="00141D39" w:rsidP="00436BEF">
      <w:r>
        <w:t>Tarkaste</w:t>
      </w:r>
      <w:r w:rsidR="00C264B0">
        <w:t>limme vastaaji</w:t>
      </w:r>
      <w:r w:rsidR="00F32161">
        <w:t>en ikää</w:t>
      </w:r>
      <w:r w:rsidR="00435445">
        <w:t xml:space="preserve"> sukupolvijaottelun</w:t>
      </w:r>
      <w:r>
        <w:t xml:space="preserve"> mukaan</w:t>
      </w:r>
      <w:r w:rsidR="00F32161">
        <w:t>. Nykypäivän urheiluorganisaatiot ovat uudenlaisessa tilanteessa, jossa toiminnassa voi olla yhtä aikaa mukana viiden eri sukupolven edustajia.</w:t>
      </w:r>
      <w:r>
        <w:t xml:space="preserve"> </w:t>
      </w:r>
      <w:r w:rsidR="00F32161">
        <w:t xml:space="preserve">Sukupolvien väliset erot arvostuksissa, käytännöissä ja uskomuksissa vaikuttavat urheilun piirissä sekä laajemmin yhteiskunnassa, myös mahdollisesti eriarvoisuutta kärjistäen (Twenge, 2023). </w:t>
      </w:r>
      <w:r>
        <w:t>Kuvassa 2 on</w:t>
      </w:r>
      <w:r w:rsidR="00B11120">
        <w:t xml:space="preserve"> esitetty vastaajien ikäjakaumat</w:t>
      </w:r>
      <w:r>
        <w:t xml:space="preserve"> </w:t>
      </w:r>
      <w:r w:rsidR="00B11120">
        <w:t>sukupolvijaottelun</w:t>
      </w:r>
      <w:r>
        <w:t xml:space="preserve"> mukaan: </w:t>
      </w:r>
      <w:r>
        <w:lastRenderedPageBreak/>
        <w:t xml:space="preserve">sukupolvi Z (15-29 –vuotiaat), milleniaalit (30-44 –vuotiaat), sukupolvi X (45-59 –vuotiaat), suuret ikäluokat (60-78 –vuotiaat) ja hiljaiset (yli 79 –vuotiaat). Vastaajista enemmistö kuului Z sukupolveen. </w:t>
      </w:r>
    </w:p>
    <w:p w14:paraId="3F7E2D11" w14:textId="4F678706" w:rsidR="002B6019" w:rsidRDefault="002B6019"/>
    <w:p w14:paraId="6908FCE7" w14:textId="77777777" w:rsidR="000F66B8" w:rsidRDefault="000F66B8"/>
    <w:p w14:paraId="3E2D6D4D" w14:textId="6FC70A39" w:rsidR="000F66B8" w:rsidRDefault="000F66B8">
      <w:r>
        <w:rPr>
          <w:noProof/>
          <w:lang w:eastAsia="fi-FI"/>
        </w:rPr>
        <w:drawing>
          <wp:inline distT="0" distB="0" distL="0" distR="0" wp14:anchorId="41E01216" wp14:editId="42FD1FC5">
            <wp:extent cx="5697323" cy="2743200"/>
            <wp:effectExtent l="0" t="0" r="17780" b="0"/>
            <wp:docPr id="5" name="Kaavi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7107B6E" w14:textId="28B50C4A" w:rsidR="000F66B8" w:rsidRDefault="000F66B8" w:rsidP="000F66B8">
      <w:r>
        <w:t xml:space="preserve">Kuva 1. Vastaajien </w:t>
      </w:r>
      <w:r w:rsidR="0033754B">
        <w:t xml:space="preserve">ilmoittamat </w:t>
      </w:r>
      <w:r>
        <w:t xml:space="preserve">roolit aineistossa. </w:t>
      </w:r>
      <w:r w:rsidR="00F33E91">
        <w:t>’</w:t>
      </w:r>
      <w:r>
        <w:t>Muu rooli</w:t>
      </w:r>
      <w:r w:rsidR="00F33E91">
        <w:t>’</w:t>
      </w:r>
      <w:r>
        <w:t xml:space="preserve"> sisälsi muun muassa tuomareita, seuratoimijoita ja urheilijoiden vanhempia. </w:t>
      </w:r>
    </w:p>
    <w:p w14:paraId="7F5400E4" w14:textId="77777777" w:rsidR="000B7A84" w:rsidRDefault="000B7A84"/>
    <w:p w14:paraId="3C523E79" w14:textId="77777777" w:rsidR="006C24FB" w:rsidRDefault="006C24FB"/>
    <w:p w14:paraId="332C4BA1" w14:textId="14A706CD" w:rsidR="00507E07" w:rsidRDefault="00507E07"/>
    <w:p w14:paraId="68991632" w14:textId="2CB3CE7C" w:rsidR="00507E07" w:rsidRDefault="007E3782">
      <w:r>
        <w:rPr>
          <w:noProof/>
          <w:lang w:eastAsia="fi-FI"/>
        </w:rPr>
        <w:drawing>
          <wp:inline distT="0" distB="0" distL="0" distR="0" wp14:anchorId="09052E30" wp14:editId="0B93F1C9">
            <wp:extent cx="5614921" cy="2743200"/>
            <wp:effectExtent l="0" t="0" r="24130" b="0"/>
            <wp:docPr id="2" name="Kaavi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EEB00CC" w14:textId="78C78469" w:rsidR="00507E07" w:rsidRDefault="00A10B01">
      <w:r>
        <w:t>Kuva 2</w:t>
      </w:r>
      <w:r w:rsidR="00D14C73">
        <w:t>. Vastaajien jakauma</w:t>
      </w:r>
      <w:r w:rsidR="007C3F27">
        <w:t xml:space="preserve"> sukupolvijaottelun mukaan</w:t>
      </w:r>
      <w:r w:rsidR="00D14C73">
        <w:t>.</w:t>
      </w:r>
    </w:p>
    <w:p w14:paraId="503E39A6" w14:textId="77777777" w:rsidR="00DF2B7F" w:rsidRDefault="00DF2B7F"/>
    <w:p w14:paraId="674A00A1" w14:textId="77777777" w:rsidR="00D10177" w:rsidRDefault="00D10177"/>
    <w:p w14:paraId="6143A0F2" w14:textId="198BD80C" w:rsidR="00531DC4" w:rsidRDefault="00531DC4">
      <w:r>
        <w:t>Kyselyyn vastanneiden sukupuolijakauma oli seuraava:</w:t>
      </w:r>
      <w:r w:rsidR="00A47F3A">
        <w:t xml:space="preserve"> kaikista vastaajista</w:t>
      </w:r>
      <w:r w:rsidR="005F3328">
        <w:t xml:space="preserve"> </w:t>
      </w:r>
      <w:r w:rsidR="00EB2609">
        <w:t>61</w:t>
      </w:r>
      <w:r w:rsidR="005F3328">
        <w:t xml:space="preserve"> %</w:t>
      </w:r>
      <w:r>
        <w:t xml:space="preserve"> </w:t>
      </w:r>
      <w:r w:rsidR="00A47F3A">
        <w:t xml:space="preserve">kertoi sukupuolekseen </w:t>
      </w:r>
      <w:r>
        <w:t>nai</w:t>
      </w:r>
      <w:r w:rsidR="00A47F3A">
        <w:t>nen</w:t>
      </w:r>
      <w:r w:rsidR="005F3328">
        <w:t xml:space="preserve">, </w:t>
      </w:r>
      <w:r w:rsidR="00EB2609">
        <w:t>36</w:t>
      </w:r>
      <w:r w:rsidR="005F3328">
        <w:t xml:space="preserve"> %</w:t>
      </w:r>
      <w:r>
        <w:t xml:space="preserve"> mi</w:t>
      </w:r>
      <w:r w:rsidR="00A47F3A">
        <w:t>es</w:t>
      </w:r>
      <w:r>
        <w:t xml:space="preserve"> ja </w:t>
      </w:r>
      <w:r w:rsidR="00EB2609">
        <w:t>3</w:t>
      </w:r>
      <w:r w:rsidR="005F3328">
        <w:t xml:space="preserve"> % </w:t>
      </w:r>
      <w:r>
        <w:t>sukupuolivähemmistöihin kuulu</w:t>
      </w:r>
      <w:r w:rsidR="00A47F3A">
        <w:t>va</w:t>
      </w:r>
      <w:r w:rsidR="005F3328">
        <w:t>.</w:t>
      </w:r>
      <w:r>
        <w:t xml:space="preserve"> </w:t>
      </w:r>
    </w:p>
    <w:p w14:paraId="05623B51" w14:textId="1532D204" w:rsidR="00296C96" w:rsidRDefault="00296C96">
      <w:r>
        <w:t>Kysely</w:t>
      </w:r>
      <w:r w:rsidR="003516F5">
        <w:t>yn</w:t>
      </w:r>
      <w:r w:rsidR="00D10177">
        <w:t xml:space="preserve"> vastanneiden</w:t>
      </w:r>
      <w:r>
        <w:t xml:space="preserve"> sukupuolijakauma heijastaa osaltaan koettua eriarvoisuutta. Sukupuolten tasa-arvoa </w:t>
      </w:r>
      <w:r w:rsidR="00D10177">
        <w:t>kartoittavissa</w:t>
      </w:r>
      <w:r>
        <w:t xml:space="preserve"> kyselyissä naiset ovat usein enemmistönä vastaajista, sillä kokemus eriarvoisuudesta </w:t>
      </w:r>
      <w:r w:rsidR="005F3328">
        <w:t>voi olla</w:t>
      </w:r>
      <w:r w:rsidR="00A73247">
        <w:t xml:space="preserve"> yksi motivaatioista osallistua</w:t>
      </w:r>
      <w:r>
        <w:t xml:space="preserve"> aihetta käsittelev</w:t>
      </w:r>
      <w:r w:rsidR="00D10177">
        <w:t>ää</w:t>
      </w:r>
      <w:r>
        <w:t>n tutkimuks</w:t>
      </w:r>
      <w:r w:rsidR="00D10177">
        <w:t>ee</w:t>
      </w:r>
      <w:r>
        <w:t>n</w:t>
      </w:r>
      <w:r w:rsidR="003F06A5">
        <w:t>.</w:t>
      </w:r>
      <w:r w:rsidR="00D10177">
        <w:t xml:space="preserve"> </w:t>
      </w:r>
    </w:p>
    <w:p w14:paraId="787C6413" w14:textId="24EBF24B" w:rsidR="00AC1F76" w:rsidRDefault="002801D9">
      <w:r>
        <w:lastRenderedPageBreak/>
        <w:t xml:space="preserve">Tämä </w:t>
      </w:r>
      <w:r w:rsidR="0078225C">
        <w:t xml:space="preserve">suuntaus </w:t>
      </w:r>
      <w:r>
        <w:t xml:space="preserve">toistui myös tässä kyselyssä, jossa vastaajien enemmistö oli naisia. </w:t>
      </w:r>
    </w:p>
    <w:p w14:paraId="0E7581B3" w14:textId="77777777" w:rsidR="004F51F3" w:rsidRDefault="004F51F3"/>
    <w:p w14:paraId="4E889598" w14:textId="4287FF24" w:rsidR="003516F5" w:rsidRDefault="003516F5" w:rsidP="003516F5">
      <w:r>
        <w:t>Sama tilanne ei kuitenkaan koskenut kaikkia muita identiteettiryhmiä, kuten sukupuolivähemmistöjä, jotka aiempien tutkimusten perusteella kokevat usein syrjintää ja eriarvoisuutta urheilussa (esim. Kokkonen</w:t>
      </w:r>
      <w:r w:rsidR="00D34E21">
        <w:t>, 2012)</w:t>
      </w:r>
      <w:r>
        <w:t xml:space="preserve">. Vastaajajoukko näissä vähemmistöryhmissä oli pieni huolimatta siitä, että kyselyyn oli sisällytetty monia vastausvaihtoehtoja erityisesti sukupuoli-identiteetistä kertomiseen. </w:t>
      </w:r>
    </w:p>
    <w:p w14:paraId="0534D041" w14:textId="12D84A77" w:rsidR="003516F5" w:rsidRDefault="003516F5"/>
    <w:p w14:paraId="79A5A5DD" w14:textId="7653EA4E" w:rsidR="00E3134B" w:rsidRDefault="002539C6">
      <w:r>
        <w:t xml:space="preserve">Muita vähemmistöryhmiä vastaajissa olivat seksuaalivähemmistöihin kuuluvat ihmiset, joihin </w:t>
      </w:r>
      <w:r w:rsidR="00FA307B">
        <w:t xml:space="preserve">kertoi </w:t>
      </w:r>
      <w:r>
        <w:t>kuulu</w:t>
      </w:r>
      <w:r w:rsidR="00FA307B">
        <w:t>vansa</w:t>
      </w:r>
      <w:r>
        <w:t xml:space="preserve"> 18 % vastaajista. </w:t>
      </w:r>
      <w:r w:rsidR="00FA307B">
        <w:t xml:space="preserve">Tämä </w:t>
      </w:r>
      <w:r>
        <w:t xml:space="preserve">osuus vastaa </w:t>
      </w:r>
      <w:r w:rsidR="00FA307B">
        <w:t>arviolta</w:t>
      </w:r>
      <w:r>
        <w:t xml:space="preserve"> seksuaalivähemmistö</w:t>
      </w:r>
      <w:r w:rsidR="00FA307B">
        <w:t xml:space="preserve">jen </w:t>
      </w:r>
      <w:r>
        <w:t>osuutta koko väestössä (Tilastokeskus, 2013; Lehtonen, 2007).</w:t>
      </w:r>
      <w:r w:rsidR="00FA307B">
        <w:t xml:space="preserve"> </w:t>
      </w:r>
      <w:r w:rsidR="000362C7">
        <w:t>Enemmistö vastaajista kertoi identiteetikseen heteroseksuaali.</w:t>
      </w:r>
      <w:r w:rsidR="001D38FC">
        <w:t xml:space="preserve"> </w:t>
      </w:r>
    </w:p>
    <w:p w14:paraId="5C5E2802" w14:textId="3077A946" w:rsidR="001D38FC" w:rsidRDefault="004E7C07">
      <w:r>
        <w:t>Kyselya</w:t>
      </w:r>
      <w:r w:rsidR="001D38FC">
        <w:t xml:space="preserve">ineiston erittelyssä tulemme </w:t>
      </w:r>
      <w:r>
        <w:t xml:space="preserve">jatkossa </w:t>
      </w:r>
      <w:r w:rsidR="001D38FC">
        <w:t xml:space="preserve">tarkastelemaan myös vastaajien </w:t>
      </w:r>
      <w:r>
        <w:t xml:space="preserve">kertomaa </w:t>
      </w:r>
      <w:r w:rsidR="001D38FC">
        <w:t xml:space="preserve">etnistä identiteettiä ja vammaisuutta </w:t>
      </w:r>
      <w:r>
        <w:t>sekä näiden ryhmien yhteyttä koettuun eriarvoisuuteen urheilussa.</w:t>
      </w:r>
    </w:p>
    <w:p w14:paraId="327CED15" w14:textId="77777777" w:rsidR="00A67899" w:rsidRDefault="00A67899" w:rsidP="00351C34"/>
    <w:p w14:paraId="2366E2FF" w14:textId="71B167F5" w:rsidR="008D2516" w:rsidRDefault="00B6735F" w:rsidP="00351C34">
      <w:r w:rsidRPr="00180AA3">
        <w:rPr>
          <w:b/>
          <w:bCs/>
        </w:rPr>
        <w:t>Yhteenvetona</w:t>
      </w:r>
      <w:r w:rsidR="00351C34" w:rsidRPr="00180AA3">
        <w:rPr>
          <w:b/>
          <w:bCs/>
        </w:rPr>
        <w:t xml:space="preserve"> kyselyvastaajista voidaan todeta, että vastaajajoukon enemmistö oli heteroseksuaalisia naisia. </w:t>
      </w:r>
      <w:r w:rsidR="008D2516" w:rsidRPr="00180AA3">
        <w:rPr>
          <w:b/>
          <w:bCs/>
        </w:rPr>
        <w:t>Eri v</w:t>
      </w:r>
      <w:r w:rsidR="00351C34" w:rsidRPr="00180AA3">
        <w:rPr>
          <w:b/>
          <w:bCs/>
        </w:rPr>
        <w:t xml:space="preserve">ähemmistöryhmiin kuuluvia vastaajia tavoitettiin </w:t>
      </w:r>
      <w:r w:rsidR="008D2516" w:rsidRPr="00180AA3">
        <w:rPr>
          <w:b/>
          <w:bCs/>
        </w:rPr>
        <w:t>vähän tai jonkin verran</w:t>
      </w:r>
      <w:r w:rsidR="008D2516">
        <w:t>. Vastaajien joukko antaa viitteitä siitä, että tasa-arvokysymykset koskettavat edelleen isoa joukkoa</w:t>
      </w:r>
      <w:r w:rsidR="008D2516" w:rsidRPr="008D2516">
        <w:t xml:space="preserve"> </w:t>
      </w:r>
      <w:r w:rsidR="008D2516">
        <w:t xml:space="preserve">naisia suomalaisessa huippu-urheilussa. </w:t>
      </w:r>
      <w:r w:rsidR="00E15959">
        <w:t>Toisaalta</w:t>
      </w:r>
      <w:r w:rsidR="008D2516">
        <w:t xml:space="preserve"> </w:t>
      </w:r>
      <w:r w:rsidR="006C5B44">
        <w:t>joidenkin vähemmistöjen suppea osuus vastaajissa herättää kysymyks</w:t>
      </w:r>
      <w:r w:rsidR="00E15959">
        <w:t>iä</w:t>
      </w:r>
      <w:r w:rsidR="006C5B44">
        <w:t xml:space="preserve"> siitä, sulkeeko huippu-urheilu pois vähemmistöihin kuuluvia ihmisiä, joita siksi </w:t>
      </w:r>
      <w:r w:rsidR="00DE2B24">
        <w:t>o</w:t>
      </w:r>
      <w:r w:rsidR="00A67899">
        <w:t>li</w:t>
      </w:r>
      <w:r w:rsidR="00DE2B24">
        <w:t xml:space="preserve"> vastaajajoukossa vain vähän. On myös pohdittava sitä, onko</w:t>
      </w:r>
      <w:r w:rsidR="006C5B44">
        <w:t xml:space="preserve"> esimerkiksi oman vähemmistöidentiteetin kertominen urheilukontekstissa </w:t>
      </w:r>
      <w:r w:rsidR="00E15959">
        <w:t xml:space="preserve">liiallinen </w:t>
      </w:r>
      <w:r w:rsidR="006C5B44">
        <w:t>riski tulla tunnistetuksi</w:t>
      </w:r>
      <w:r w:rsidR="00DE2B24">
        <w:t>, mikä saattaa nostaa kynnystä tutkimukseen osallistumisesta</w:t>
      </w:r>
      <w:r w:rsidR="006C5B44">
        <w:t>.</w:t>
      </w:r>
    </w:p>
    <w:p w14:paraId="00237DDF" w14:textId="70224559" w:rsidR="00F85A18" w:rsidRDefault="00E15959">
      <w:r>
        <w:t>Näiden</w:t>
      </w:r>
      <w:r w:rsidR="008D2516">
        <w:t xml:space="preserve"> epätasa-arvoon liittyvien kehityskohtien</w:t>
      </w:r>
      <w:r>
        <w:t xml:space="preserve"> tarkempi analyysi ja </w:t>
      </w:r>
      <w:r w:rsidR="00DE2B24">
        <w:t xml:space="preserve">eriarvoisuuden </w:t>
      </w:r>
      <w:r>
        <w:t>syiden</w:t>
      </w:r>
      <w:r w:rsidR="008D2516">
        <w:t xml:space="preserve"> tunnistaminen on</w:t>
      </w:r>
      <w:r w:rsidR="00DE2B24">
        <w:t xml:space="preserve"> ensiarvoisen</w:t>
      </w:r>
      <w:r w:rsidR="008D2516">
        <w:t xml:space="preserve"> tärkeää paremman urheilukulttuurin luomiseksi.</w:t>
      </w:r>
    </w:p>
    <w:p w14:paraId="68346E93" w14:textId="6D344E7A" w:rsidR="008D65A6" w:rsidDel="007B5F62" w:rsidRDefault="008D65A6" w:rsidP="008D65A6"/>
    <w:p w14:paraId="0E606A16" w14:textId="4CA5591D" w:rsidR="000B7A84" w:rsidRDefault="000B7A84"/>
    <w:p w14:paraId="7799D222" w14:textId="77777777" w:rsidR="00A40547" w:rsidRDefault="00A40547"/>
    <w:p w14:paraId="1C6C41F7" w14:textId="1DEAD650" w:rsidR="008A0898" w:rsidRDefault="00041D97">
      <w:pPr>
        <w:rPr>
          <w:b/>
        </w:rPr>
      </w:pPr>
      <w:r w:rsidRPr="00041D97">
        <w:rPr>
          <w:b/>
        </w:rPr>
        <w:t>Tietoisuus</w:t>
      </w:r>
      <w:r w:rsidR="008153E0">
        <w:rPr>
          <w:b/>
        </w:rPr>
        <w:t xml:space="preserve"> käytänteistä</w:t>
      </w:r>
      <w:r w:rsidRPr="00041D97">
        <w:rPr>
          <w:b/>
        </w:rPr>
        <w:t xml:space="preserve">: </w:t>
      </w:r>
    </w:p>
    <w:p w14:paraId="7954F579" w14:textId="77777777" w:rsidR="00110DBF" w:rsidRDefault="00110DBF">
      <w:pPr>
        <w:rPr>
          <w:b/>
        </w:rPr>
      </w:pPr>
    </w:p>
    <w:p w14:paraId="72A9A110" w14:textId="58726E7C" w:rsidR="00EE6D64" w:rsidRDefault="00A67899">
      <w:r>
        <w:t xml:space="preserve">Kyselyssä tarkastelimme myös huippu-urheilussa mukana olevien henkilöiden tietoisuutta tasa-arvoon liittyvistä käytänteistä urheiluorganisaatioissa. </w:t>
      </w:r>
      <w:r w:rsidR="00F972E5">
        <w:t xml:space="preserve">Valtionapua saavien lajiliittojen </w:t>
      </w:r>
      <w:r w:rsidR="004C2213">
        <w:t xml:space="preserve">on </w:t>
      </w:r>
      <w:r w:rsidR="0082782C">
        <w:t xml:space="preserve">valtionapukriteerien mukaisesti </w:t>
      </w:r>
      <w:r w:rsidR="004C2213">
        <w:t xml:space="preserve">tehtävä yhdenvertaisuus- ja tasa-arvosuunnitelma toiminnalleen. Samaa vaadetta ei ole seuratasolla, vaan seurat voivat edistää tasa-arvoa parhaaksi katsomallaan tavalla. </w:t>
      </w:r>
    </w:p>
    <w:p w14:paraId="59AA73E0" w14:textId="77777777" w:rsidR="00EE6D64" w:rsidRDefault="00EE6D64"/>
    <w:p w14:paraId="671C7626" w14:textId="2D80F96A" w:rsidR="00EE6D64" w:rsidRDefault="00110DBF">
      <w:r>
        <w:t>Vastaajista</w:t>
      </w:r>
      <w:r w:rsidR="004C2213">
        <w:t xml:space="preserve"> vain</w:t>
      </w:r>
      <w:r w:rsidR="00132A65">
        <w:t xml:space="preserve"> alle</w:t>
      </w:r>
      <w:r>
        <w:t xml:space="preserve"> viidesosa</w:t>
      </w:r>
      <w:r w:rsidR="00304FEB">
        <w:t xml:space="preserve"> </w:t>
      </w:r>
      <w:r>
        <w:t xml:space="preserve">raportoi tietävänsä, </w:t>
      </w:r>
      <w:r w:rsidR="004C2213">
        <w:t>onko</w:t>
      </w:r>
      <w:r>
        <w:t xml:space="preserve"> </w:t>
      </w:r>
      <w:r w:rsidR="00132A65">
        <w:t>heidän edustamalla</w:t>
      </w:r>
      <w:r w:rsidR="00144FFA">
        <w:t>an</w:t>
      </w:r>
      <w:r w:rsidR="00132A65">
        <w:t xml:space="preserve"> </w:t>
      </w:r>
      <w:r w:rsidR="00EE6D64">
        <w:t>urheilu</w:t>
      </w:r>
      <w:r w:rsidR="00113EF1">
        <w:t>seuralla</w:t>
      </w:r>
      <w:r w:rsidR="005D19DD">
        <w:t xml:space="preserve"> </w:t>
      </w:r>
      <w:r w:rsidR="00132A65">
        <w:t>suunnitelma sukupuolten tasa-arvon edistämiseksi</w:t>
      </w:r>
      <w:r w:rsidR="00CC4C73">
        <w:t xml:space="preserve"> (Kuva 3)</w:t>
      </w:r>
      <w:r w:rsidR="00132A65">
        <w:t xml:space="preserve">. </w:t>
      </w:r>
      <w:r w:rsidR="00113EF1">
        <w:t xml:space="preserve">Suurin osa vastaajista ei ollut tietoinen, onko </w:t>
      </w:r>
      <w:r w:rsidR="00EE6D64">
        <w:t xml:space="preserve">heidän </w:t>
      </w:r>
      <w:r w:rsidR="005D19DD">
        <w:t>urheiluseuralla</w:t>
      </w:r>
      <w:r w:rsidR="00EE6D64">
        <w:t>an</w:t>
      </w:r>
      <w:r w:rsidR="005D19DD">
        <w:t xml:space="preserve"> </w:t>
      </w:r>
      <w:r w:rsidR="00113EF1">
        <w:t>tällaista suunnite</w:t>
      </w:r>
      <w:r w:rsidR="004C2213">
        <w:t>l</w:t>
      </w:r>
      <w:r w:rsidR="00113EF1">
        <w:t>maa</w:t>
      </w:r>
      <w:r w:rsidR="004C2213">
        <w:t xml:space="preserve"> olemassa</w:t>
      </w:r>
      <w:r w:rsidR="00113EF1">
        <w:t xml:space="preserve"> vai ei. </w:t>
      </w:r>
      <w:r w:rsidR="008153E0">
        <w:t xml:space="preserve">Tarkasteltaessa tietämystä </w:t>
      </w:r>
      <w:r w:rsidR="00EE6D64">
        <w:t xml:space="preserve">kansallisten </w:t>
      </w:r>
      <w:r w:rsidR="008153E0">
        <w:t xml:space="preserve">lajiliittojen käytänteistä, noin viidesosa </w:t>
      </w:r>
      <w:r w:rsidR="004C2213">
        <w:t xml:space="preserve">vastaajista </w:t>
      </w:r>
      <w:r w:rsidR="008153E0">
        <w:t>oli tietoinen tasa-arv</w:t>
      </w:r>
      <w:r w:rsidR="004C2213">
        <w:t>osuunnitelmasta</w:t>
      </w:r>
      <w:r w:rsidR="008153E0">
        <w:t xml:space="preserve">. </w:t>
      </w:r>
      <w:r w:rsidR="00EE6D64">
        <w:t>Sen sijaan 16 % ilmoitti, ettei heidän lajiliitossaan olisi käytössä tasa-arvosuunnitelmaa.</w:t>
      </w:r>
    </w:p>
    <w:p w14:paraId="1AE04C36" w14:textId="77777777" w:rsidR="00EE6D64" w:rsidRDefault="00EE6D64"/>
    <w:p w14:paraId="4B5A124D" w14:textId="51C7BC4C" w:rsidR="00110DBF" w:rsidRDefault="008153E0">
      <w:r>
        <w:t xml:space="preserve">Puolestaan neljäsosa vastaajista </w:t>
      </w:r>
      <w:r w:rsidR="004C2213">
        <w:t>kertoi tietävänsä lajinsa</w:t>
      </w:r>
      <w:r>
        <w:t xml:space="preserve"> kansainvälis</w:t>
      </w:r>
      <w:r w:rsidR="004C2213">
        <w:t>en</w:t>
      </w:r>
      <w:r>
        <w:t xml:space="preserve"> lajiliit</w:t>
      </w:r>
      <w:r w:rsidR="004C2213">
        <w:t>on</w:t>
      </w:r>
      <w:r>
        <w:t xml:space="preserve"> </w:t>
      </w:r>
      <w:r w:rsidR="00AE7431">
        <w:t xml:space="preserve">tasa-arvosuunnitelmasta.  </w:t>
      </w:r>
      <w:r w:rsidR="00274F97">
        <w:t>Iso</w:t>
      </w:r>
      <w:r>
        <w:t xml:space="preserve"> osa</w:t>
      </w:r>
      <w:r w:rsidR="0029580D">
        <w:t>,</w:t>
      </w:r>
      <w:r>
        <w:t xml:space="preserve"> </w:t>
      </w:r>
      <w:r w:rsidR="00274F97">
        <w:t xml:space="preserve">noin 60 % </w:t>
      </w:r>
      <w:r w:rsidR="00AE7431">
        <w:t>vastaajista,</w:t>
      </w:r>
      <w:r>
        <w:t xml:space="preserve"> eivät olleet tietoisia onko tällaista suunnitelmaa</w:t>
      </w:r>
      <w:r w:rsidR="00AE7431">
        <w:t xml:space="preserve"> käytössä</w:t>
      </w:r>
      <w:r w:rsidR="00144FFA">
        <w:t xml:space="preserve"> kansainvälisessä lajiliitossa</w:t>
      </w:r>
      <w:r>
        <w:t xml:space="preserve"> vai ei. </w:t>
      </w:r>
    </w:p>
    <w:p w14:paraId="7CF44D24" w14:textId="77777777" w:rsidR="007C1FE3" w:rsidRDefault="007C1FE3"/>
    <w:p w14:paraId="43404E78" w14:textId="1A143017" w:rsidR="007C1FE3" w:rsidRDefault="00CC558C">
      <w:r>
        <w:rPr>
          <w:noProof/>
          <w:lang w:eastAsia="fi-FI"/>
        </w:rPr>
        <w:lastRenderedPageBreak/>
        <w:drawing>
          <wp:inline distT="0" distB="0" distL="0" distR="0" wp14:anchorId="1385A725" wp14:editId="40FE1DBA">
            <wp:extent cx="5729221" cy="2743200"/>
            <wp:effectExtent l="0" t="0" r="11430" b="0"/>
            <wp:docPr id="1" name="Kaavi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0110BBB" w14:textId="7F72C616" w:rsidR="00383091" w:rsidRDefault="00383091">
      <w:r>
        <w:t xml:space="preserve">Kuva </w:t>
      </w:r>
      <w:r w:rsidR="00CC4C73">
        <w:t>3</w:t>
      </w:r>
      <w:r>
        <w:t xml:space="preserve">. </w:t>
      </w:r>
      <w:r w:rsidR="0029580D">
        <w:t>Tietoisuus s</w:t>
      </w:r>
      <w:r>
        <w:t>ukupuolten tasa-arvon suunnitelma</w:t>
      </w:r>
      <w:r w:rsidR="0029580D">
        <w:t>sta kansallisesti ja kansainvälisesti</w:t>
      </w:r>
    </w:p>
    <w:p w14:paraId="7D1F276E" w14:textId="77777777" w:rsidR="008153E0" w:rsidRDefault="008153E0"/>
    <w:p w14:paraId="0DCEF5BA" w14:textId="1F26E636" w:rsidR="006672CD" w:rsidRDefault="00650C3F" w:rsidP="006672CD">
      <w:pPr>
        <w:rPr>
          <w:lang w:eastAsia="fi-FI"/>
        </w:rPr>
      </w:pPr>
      <w:r w:rsidRPr="00180AA3">
        <w:rPr>
          <w:b/>
          <w:bCs/>
          <w:lang w:eastAsia="fi-FI"/>
        </w:rPr>
        <w:t>Näyttääkin siltä, että tasa-arvo- ja yhdenvertaisuussuunnittelu urheiluympäristöissä ja niiden konkreettiset tavoitteet ja toimenpiteet tasa-arvon edistämiseksi eivät tavoita suurinta osaa lajin parissa toimivista ihmisistä.</w:t>
      </w:r>
      <w:r w:rsidR="002308F4">
        <w:rPr>
          <w:lang w:eastAsia="fi-FI"/>
        </w:rPr>
        <w:t xml:space="preserve"> Tietoisuutta ja toisaalta tehokkaampia keinoja tasa-arvon edistämiseksi tulisikin urheilutoiminnassa kehittää.</w:t>
      </w:r>
    </w:p>
    <w:p w14:paraId="3E114B17" w14:textId="77777777" w:rsidR="00650C3F" w:rsidRDefault="00650C3F" w:rsidP="006672CD">
      <w:pPr>
        <w:rPr>
          <w:lang w:eastAsia="fi-FI"/>
        </w:rPr>
      </w:pPr>
    </w:p>
    <w:p w14:paraId="45455654" w14:textId="77777777" w:rsidR="00650C3F" w:rsidRDefault="00650C3F" w:rsidP="006672CD">
      <w:pPr>
        <w:rPr>
          <w:lang w:eastAsia="fi-FI"/>
        </w:rPr>
      </w:pPr>
    </w:p>
    <w:p w14:paraId="6CE9176D" w14:textId="45349155" w:rsidR="006672CD" w:rsidRDefault="006672CD" w:rsidP="006672CD">
      <w:pPr>
        <w:rPr>
          <w:b/>
          <w:lang w:eastAsia="fi-FI"/>
        </w:rPr>
      </w:pPr>
      <w:r w:rsidRPr="006672CD">
        <w:rPr>
          <w:b/>
          <w:lang w:eastAsia="fi-FI"/>
        </w:rPr>
        <w:t>Vanhemmuus ja urheilu:</w:t>
      </w:r>
    </w:p>
    <w:p w14:paraId="0CB8308A" w14:textId="77777777" w:rsidR="006672CD" w:rsidRDefault="006672CD" w:rsidP="006672CD">
      <w:pPr>
        <w:rPr>
          <w:b/>
          <w:lang w:eastAsia="fi-FI"/>
        </w:rPr>
      </w:pPr>
    </w:p>
    <w:p w14:paraId="79298ECF" w14:textId="5A6B6077" w:rsidR="00CC5F1D" w:rsidRPr="00D14C73" w:rsidRDefault="00AB5AAE" w:rsidP="006672CD">
      <w:r>
        <w:rPr>
          <w:bCs/>
          <w:lang w:eastAsia="fi-FI"/>
        </w:rPr>
        <w:t>Tiedustelimme vastaajilta myös heidän näkemyksiään ja kokemuksiaan vanhemmuuden ja urheilu-uran yhdistämisestä, sillä v</w:t>
      </w:r>
      <w:r w:rsidR="00CC5F1D" w:rsidRPr="00431213">
        <w:rPr>
          <w:bCs/>
          <w:lang w:eastAsia="fi-FI"/>
        </w:rPr>
        <w:t>anhe</w:t>
      </w:r>
      <w:r w:rsidR="00CC5F1D">
        <w:rPr>
          <w:bCs/>
          <w:lang w:eastAsia="fi-FI"/>
        </w:rPr>
        <w:t>mmuu</w:t>
      </w:r>
      <w:r>
        <w:rPr>
          <w:bCs/>
          <w:lang w:eastAsia="fi-FI"/>
        </w:rPr>
        <w:t>s urheilu-</w:t>
      </w:r>
      <w:r w:rsidR="00963594">
        <w:rPr>
          <w:bCs/>
          <w:lang w:eastAsia="fi-FI"/>
        </w:rPr>
        <w:t>uralla vaikuttaa</w:t>
      </w:r>
      <w:r w:rsidR="00CC5F1D">
        <w:rPr>
          <w:bCs/>
          <w:lang w:eastAsia="fi-FI"/>
        </w:rPr>
        <w:t xml:space="preserve"> sukupuoliin eri tavoi</w:t>
      </w:r>
      <w:r w:rsidR="00516ABD">
        <w:rPr>
          <w:bCs/>
          <w:lang w:eastAsia="fi-FI"/>
        </w:rPr>
        <w:t>n</w:t>
      </w:r>
      <w:r w:rsidR="00CC5F1D">
        <w:rPr>
          <w:bCs/>
          <w:lang w:eastAsia="fi-FI"/>
        </w:rPr>
        <w:t xml:space="preserve">. </w:t>
      </w:r>
      <w:r>
        <w:rPr>
          <w:bCs/>
          <w:lang w:eastAsia="fi-FI"/>
        </w:rPr>
        <w:t xml:space="preserve">Vastausten perusteella </w:t>
      </w:r>
      <w:r w:rsidR="00CC5F1D">
        <w:rPr>
          <w:bCs/>
          <w:lang w:eastAsia="fi-FI"/>
        </w:rPr>
        <w:t>urheilijan vanhemmuu</w:t>
      </w:r>
      <w:r>
        <w:rPr>
          <w:bCs/>
          <w:lang w:eastAsia="fi-FI"/>
        </w:rPr>
        <w:t>teen</w:t>
      </w:r>
      <w:r w:rsidR="00CC5F1D">
        <w:rPr>
          <w:bCs/>
          <w:lang w:eastAsia="fi-FI"/>
        </w:rPr>
        <w:t xml:space="preserve"> </w:t>
      </w:r>
      <w:r w:rsidR="00963594">
        <w:rPr>
          <w:bCs/>
          <w:lang w:eastAsia="fi-FI"/>
        </w:rPr>
        <w:t>liittyviä eriarvoisuutta</w:t>
      </w:r>
      <w:r w:rsidR="00516ABD">
        <w:rPr>
          <w:bCs/>
          <w:lang w:eastAsia="fi-FI"/>
        </w:rPr>
        <w:t xml:space="preserve"> lisääviä</w:t>
      </w:r>
      <w:r w:rsidR="00CC5F1D">
        <w:rPr>
          <w:bCs/>
          <w:lang w:eastAsia="fi-FI"/>
        </w:rPr>
        <w:t xml:space="preserve"> tekijöitä ei </w:t>
      </w:r>
      <w:r w:rsidR="00E3134B">
        <w:rPr>
          <w:bCs/>
          <w:lang w:eastAsia="fi-FI"/>
        </w:rPr>
        <w:t>ollut</w:t>
      </w:r>
      <w:r w:rsidR="00CC5F1D">
        <w:rPr>
          <w:bCs/>
          <w:lang w:eastAsia="fi-FI"/>
        </w:rPr>
        <w:t xml:space="preserve"> huomioitu kuin pienessä osassa urheiluorganisaatioita.</w:t>
      </w:r>
    </w:p>
    <w:p w14:paraId="6867D7B9" w14:textId="77777777" w:rsidR="00CC5F1D" w:rsidRPr="00431213" w:rsidRDefault="00CC5F1D" w:rsidP="006672CD">
      <w:pPr>
        <w:rPr>
          <w:bCs/>
          <w:lang w:eastAsia="fi-FI"/>
        </w:rPr>
      </w:pPr>
    </w:p>
    <w:p w14:paraId="23AC10CB" w14:textId="68806C10" w:rsidR="00CC5F1D" w:rsidRDefault="00AB5AAE" w:rsidP="006672CD">
      <w:pPr>
        <w:rPr>
          <w:lang w:eastAsia="fi-FI"/>
        </w:rPr>
      </w:pPr>
      <w:r>
        <w:t>Kyselyn v</w:t>
      </w:r>
      <w:r w:rsidR="00CC4C73">
        <w:t xml:space="preserve">astaajista 24 % oli vanhempia tai toimi </w:t>
      </w:r>
      <w:r w:rsidR="00516ABD">
        <w:t xml:space="preserve">alaikäisen lapsen </w:t>
      </w:r>
      <w:r w:rsidR="00CC4C73">
        <w:t xml:space="preserve">huoltajan roolissa. </w:t>
      </w:r>
      <w:r w:rsidR="00516ABD">
        <w:rPr>
          <w:lang w:eastAsia="fi-FI"/>
        </w:rPr>
        <w:t>Vain k</w:t>
      </w:r>
      <w:r w:rsidR="002B4E7A">
        <w:rPr>
          <w:lang w:eastAsia="fi-FI"/>
        </w:rPr>
        <w:t>uusi prosenttia vastaajista raportoi, että heidän joukkueessa</w:t>
      </w:r>
      <w:r w:rsidR="00CC5F1D">
        <w:rPr>
          <w:lang w:eastAsia="fi-FI"/>
        </w:rPr>
        <w:t>an</w:t>
      </w:r>
      <w:r w:rsidR="002B4E7A">
        <w:rPr>
          <w:lang w:eastAsia="fi-FI"/>
        </w:rPr>
        <w:t xml:space="preserve"> tai seurassa</w:t>
      </w:r>
      <w:r w:rsidR="00CC5F1D">
        <w:rPr>
          <w:lang w:eastAsia="fi-FI"/>
        </w:rPr>
        <w:t>an</w:t>
      </w:r>
      <w:r w:rsidR="002B4E7A">
        <w:rPr>
          <w:lang w:eastAsia="fi-FI"/>
        </w:rPr>
        <w:t xml:space="preserve"> on kehitetty toimintaperiaatteita tai käytäntöjä </w:t>
      </w:r>
      <w:r w:rsidR="00CC5F1D">
        <w:rPr>
          <w:lang w:eastAsia="fi-FI"/>
        </w:rPr>
        <w:t xml:space="preserve">urheilijan </w:t>
      </w:r>
      <w:r w:rsidR="002B4E7A">
        <w:rPr>
          <w:lang w:eastAsia="fi-FI"/>
        </w:rPr>
        <w:t>raskausai</w:t>
      </w:r>
      <w:r w:rsidR="00CC5F1D">
        <w:rPr>
          <w:lang w:eastAsia="fi-FI"/>
        </w:rPr>
        <w:t>kaan</w:t>
      </w:r>
      <w:r w:rsidR="002B4E7A">
        <w:rPr>
          <w:lang w:eastAsia="fi-FI"/>
        </w:rPr>
        <w:t xml:space="preserve">, vanhempainvapaalle ja urheiluun paluulle. </w:t>
      </w:r>
      <w:r w:rsidR="004E651B">
        <w:rPr>
          <w:lang w:eastAsia="fi-FI"/>
        </w:rPr>
        <w:t>Noin kolmasosa</w:t>
      </w:r>
      <w:r w:rsidR="00CC5F1D">
        <w:rPr>
          <w:lang w:eastAsia="fi-FI"/>
        </w:rPr>
        <w:t xml:space="preserve"> kertoi</w:t>
      </w:r>
      <w:r w:rsidR="004E651B">
        <w:rPr>
          <w:lang w:eastAsia="fi-FI"/>
        </w:rPr>
        <w:t>, että tällaisia periaatteita tai käytänteitä ei ole lainkaan</w:t>
      </w:r>
      <w:r w:rsidR="00CC5F1D">
        <w:rPr>
          <w:lang w:eastAsia="fi-FI"/>
        </w:rPr>
        <w:t>.</w:t>
      </w:r>
      <w:r w:rsidR="00D14C73">
        <w:rPr>
          <w:lang w:eastAsia="fi-FI"/>
        </w:rPr>
        <w:t xml:space="preserve"> </w:t>
      </w:r>
      <w:r w:rsidR="00CC5F1D">
        <w:rPr>
          <w:lang w:eastAsia="fi-FI"/>
        </w:rPr>
        <w:t>L</w:t>
      </w:r>
      <w:r w:rsidR="004E651B">
        <w:rPr>
          <w:lang w:eastAsia="fi-FI"/>
        </w:rPr>
        <w:t>oput</w:t>
      </w:r>
      <w:r w:rsidR="00CC5F1D">
        <w:rPr>
          <w:lang w:eastAsia="fi-FI"/>
        </w:rPr>
        <w:t xml:space="preserve"> vastaajista eli noin 70 %</w:t>
      </w:r>
      <w:r w:rsidR="004E651B">
        <w:rPr>
          <w:lang w:eastAsia="fi-FI"/>
        </w:rPr>
        <w:t xml:space="preserve"> eivät tienneet</w:t>
      </w:r>
      <w:r w:rsidR="00CC5F1D">
        <w:rPr>
          <w:lang w:eastAsia="fi-FI"/>
        </w:rPr>
        <w:t xml:space="preserve"> onko heidän urheiluympäristössään toimintaperiaatteita urheilijan vanhemmuuden varalle</w:t>
      </w:r>
      <w:r w:rsidR="004E651B">
        <w:rPr>
          <w:lang w:eastAsia="fi-FI"/>
        </w:rPr>
        <w:t>.</w:t>
      </w:r>
      <w:r w:rsidR="00982107">
        <w:rPr>
          <w:lang w:eastAsia="fi-FI"/>
        </w:rPr>
        <w:t xml:space="preserve"> </w:t>
      </w:r>
    </w:p>
    <w:p w14:paraId="43EDB520" w14:textId="77777777" w:rsidR="00CC5F1D" w:rsidRDefault="00CC5F1D" w:rsidP="006672CD">
      <w:pPr>
        <w:rPr>
          <w:lang w:eastAsia="fi-FI"/>
        </w:rPr>
      </w:pPr>
    </w:p>
    <w:p w14:paraId="10F0C566" w14:textId="17D534EC" w:rsidR="00AB5AAE" w:rsidRDefault="00982107" w:rsidP="006672CD">
      <w:pPr>
        <w:rPr>
          <w:lang w:eastAsia="fi-FI"/>
        </w:rPr>
      </w:pPr>
      <w:r>
        <w:rPr>
          <w:lang w:eastAsia="fi-FI"/>
        </w:rPr>
        <w:t xml:space="preserve">Vastaajista yli puolet oli </w:t>
      </w:r>
      <w:r w:rsidR="00516ABD">
        <w:rPr>
          <w:lang w:eastAsia="fi-FI"/>
        </w:rPr>
        <w:t xml:space="preserve">kuitenkin </w:t>
      </w:r>
      <w:r>
        <w:rPr>
          <w:lang w:eastAsia="fi-FI"/>
        </w:rPr>
        <w:t>sitä</w:t>
      </w:r>
      <w:r w:rsidR="007B1238">
        <w:rPr>
          <w:lang w:eastAsia="fi-FI"/>
        </w:rPr>
        <w:t xml:space="preserve"> </w:t>
      </w:r>
      <w:r>
        <w:rPr>
          <w:lang w:eastAsia="fi-FI"/>
        </w:rPr>
        <w:t xml:space="preserve">mieltä, että </w:t>
      </w:r>
      <w:r w:rsidR="00AC7964">
        <w:rPr>
          <w:lang w:eastAsia="fi-FI"/>
        </w:rPr>
        <w:t>seurojen/ryhmien/urheilujärjestöjen</w:t>
      </w:r>
      <w:r>
        <w:rPr>
          <w:lang w:eastAsia="fi-FI"/>
        </w:rPr>
        <w:t xml:space="preserve"> pitäisi</w:t>
      </w:r>
      <w:r w:rsidR="00AC7964">
        <w:rPr>
          <w:lang w:eastAsia="fi-FI"/>
        </w:rPr>
        <w:t xml:space="preserve"> sitoutua tarjoamaan pa</w:t>
      </w:r>
      <w:r w:rsidR="007B1238">
        <w:rPr>
          <w:lang w:eastAsia="fi-FI"/>
        </w:rPr>
        <w:t>l</w:t>
      </w:r>
      <w:r w:rsidR="00AC7964">
        <w:rPr>
          <w:lang w:eastAsia="fi-FI"/>
        </w:rPr>
        <w:t>kallista vanhempainvapaata ja lastenhoitoa ammattiurheilijoill</w:t>
      </w:r>
      <w:r>
        <w:rPr>
          <w:lang w:eastAsia="fi-FI"/>
        </w:rPr>
        <w:t xml:space="preserve">een, jotka ovat myös vanhempia. </w:t>
      </w:r>
      <w:r w:rsidR="00AC7964">
        <w:rPr>
          <w:lang w:eastAsia="fi-FI"/>
        </w:rPr>
        <w:t xml:space="preserve">10 % </w:t>
      </w:r>
      <w:r w:rsidR="00516ABD">
        <w:rPr>
          <w:lang w:eastAsia="fi-FI"/>
        </w:rPr>
        <w:t xml:space="preserve">vastaajista </w:t>
      </w:r>
      <w:r w:rsidR="00AC7964">
        <w:rPr>
          <w:lang w:eastAsia="fi-FI"/>
        </w:rPr>
        <w:t xml:space="preserve">oli eri mieltä. </w:t>
      </w:r>
      <w:r w:rsidR="00AB5AAE">
        <w:rPr>
          <w:lang w:eastAsia="fi-FI"/>
        </w:rPr>
        <w:t>Kysyttäessä perheystävällisten toimintaperiaatteiden luomisesta ja käyttöönottamisesta urheiluympäristöissä noin kolmasosa vastasi ”en tue, mutta en ole myöskään sitä vastaan”.</w:t>
      </w:r>
    </w:p>
    <w:p w14:paraId="36925710" w14:textId="77777777" w:rsidR="00AB5AAE" w:rsidRDefault="00AB5AAE" w:rsidP="006672CD">
      <w:pPr>
        <w:rPr>
          <w:lang w:eastAsia="fi-FI"/>
        </w:rPr>
      </w:pPr>
    </w:p>
    <w:p w14:paraId="19C67363" w14:textId="24A5DB51" w:rsidR="00A134F7" w:rsidRDefault="00D60816" w:rsidP="006672CD">
      <w:pPr>
        <w:rPr>
          <w:lang w:eastAsia="fi-FI"/>
        </w:rPr>
      </w:pPr>
      <w:r>
        <w:rPr>
          <w:lang w:eastAsia="fi-FI"/>
        </w:rPr>
        <w:t>Kysyttäessä huippu-urheilun ja vanhemmuuden yhteensopivuu</w:t>
      </w:r>
      <w:r w:rsidR="007B1238">
        <w:rPr>
          <w:lang w:eastAsia="fi-FI"/>
        </w:rPr>
        <w:t>desta</w:t>
      </w:r>
      <w:r w:rsidR="00516ABD">
        <w:rPr>
          <w:lang w:eastAsia="fi-FI"/>
        </w:rPr>
        <w:t>,</w:t>
      </w:r>
      <w:r>
        <w:rPr>
          <w:lang w:eastAsia="fi-FI"/>
        </w:rPr>
        <w:t xml:space="preserve"> 10 % </w:t>
      </w:r>
      <w:r w:rsidR="00516ABD">
        <w:rPr>
          <w:lang w:eastAsia="fi-FI"/>
        </w:rPr>
        <w:t xml:space="preserve">vastaajista </w:t>
      </w:r>
      <w:r>
        <w:rPr>
          <w:lang w:eastAsia="fi-FI"/>
        </w:rPr>
        <w:t>oli sitä mieltä, että huippu-urheilu on epäsopivaa urheilijaäideille</w:t>
      </w:r>
      <w:r w:rsidR="00CC4C73">
        <w:rPr>
          <w:lang w:eastAsia="fi-FI"/>
        </w:rPr>
        <w:t xml:space="preserve"> (Kuva 4)</w:t>
      </w:r>
      <w:r>
        <w:rPr>
          <w:lang w:eastAsia="fi-FI"/>
        </w:rPr>
        <w:t xml:space="preserve">. </w:t>
      </w:r>
      <w:r w:rsidR="00AB5AAE">
        <w:rPr>
          <w:lang w:eastAsia="fi-FI"/>
        </w:rPr>
        <w:t>Peräti</w:t>
      </w:r>
      <w:r w:rsidR="007B1238">
        <w:rPr>
          <w:lang w:eastAsia="fi-FI"/>
        </w:rPr>
        <w:t xml:space="preserve"> n</w:t>
      </w:r>
      <w:r>
        <w:rPr>
          <w:lang w:eastAsia="fi-FI"/>
        </w:rPr>
        <w:t xml:space="preserve">oin viidesosa oli sitä mieltä, että huippu-urheilu ei ole sopivaa raskaana oleville urheilijoille. </w:t>
      </w:r>
    </w:p>
    <w:p w14:paraId="75C88B37" w14:textId="77777777" w:rsidR="00A134F7" w:rsidRDefault="00A134F7" w:rsidP="006672CD">
      <w:pPr>
        <w:rPr>
          <w:lang w:eastAsia="fi-FI"/>
        </w:rPr>
      </w:pPr>
    </w:p>
    <w:p w14:paraId="0319DE31" w14:textId="21BE829F" w:rsidR="007B1238" w:rsidRDefault="007B1238" w:rsidP="006672CD">
      <w:pPr>
        <w:rPr>
          <w:lang w:eastAsia="fi-FI"/>
        </w:rPr>
      </w:pPr>
      <w:r w:rsidRPr="00180AA3">
        <w:rPr>
          <w:b/>
          <w:bCs/>
          <w:lang w:eastAsia="fi-FI"/>
        </w:rPr>
        <w:lastRenderedPageBreak/>
        <w:t>Vanhemmuuden ja urheilun yhdistäminen näytti siis olevan huomattava</w:t>
      </w:r>
      <w:r w:rsidR="00FA6BEB" w:rsidRPr="00180AA3">
        <w:rPr>
          <w:b/>
          <w:bCs/>
          <w:lang w:eastAsia="fi-FI"/>
        </w:rPr>
        <w:t>n isolle joukolle</w:t>
      </w:r>
      <w:r w:rsidRPr="00180AA3">
        <w:rPr>
          <w:b/>
          <w:bCs/>
          <w:lang w:eastAsia="fi-FI"/>
        </w:rPr>
        <w:t xml:space="preserve"> vastaajista</w:t>
      </w:r>
      <w:r w:rsidR="00FA6BEB" w:rsidRPr="00180AA3">
        <w:rPr>
          <w:b/>
          <w:bCs/>
          <w:lang w:eastAsia="fi-FI"/>
        </w:rPr>
        <w:t xml:space="preserve"> joko</w:t>
      </w:r>
      <w:r w:rsidRPr="00180AA3">
        <w:rPr>
          <w:b/>
          <w:bCs/>
          <w:lang w:eastAsia="fi-FI"/>
        </w:rPr>
        <w:t xml:space="preserve"> tuntematon </w:t>
      </w:r>
      <w:r w:rsidR="00D43E64" w:rsidRPr="00180AA3">
        <w:rPr>
          <w:b/>
          <w:bCs/>
          <w:lang w:eastAsia="fi-FI"/>
        </w:rPr>
        <w:t xml:space="preserve">tai </w:t>
      </w:r>
      <w:r w:rsidR="00FA6BEB" w:rsidRPr="00180AA3">
        <w:rPr>
          <w:b/>
          <w:bCs/>
          <w:lang w:eastAsia="fi-FI"/>
        </w:rPr>
        <w:t xml:space="preserve">voimakkaasti </w:t>
      </w:r>
      <w:r w:rsidR="00D43E64" w:rsidRPr="00180AA3">
        <w:rPr>
          <w:b/>
          <w:bCs/>
          <w:lang w:eastAsia="fi-FI"/>
        </w:rPr>
        <w:t>mielipiteitä jakava aihe.</w:t>
      </w:r>
    </w:p>
    <w:p w14:paraId="67587DA0" w14:textId="77777777" w:rsidR="001A3156" w:rsidRDefault="001A3156" w:rsidP="006672CD">
      <w:pPr>
        <w:rPr>
          <w:lang w:eastAsia="fi-FI"/>
        </w:rPr>
      </w:pPr>
    </w:p>
    <w:p w14:paraId="48D844C2" w14:textId="34C594A3" w:rsidR="001A3156" w:rsidRDefault="001C392B" w:rsidP="006672CD">
      <w:pPr>
        <w:rPr>
          <w:lang w:eastAsia="fi-FI"/>
        </w:rPr>
      </w:pPr>
      <w:r>
        <w:rPr>
          <w:noProof/>
          <w:lang w:eastAsia="fi-FI"/>
        </w:rPr>
        <w:drawing>
          <wp:inline distT="0" distB="0" distL="0" distR="0" wp14:anchorId="1AE3F494" wp14:editId="7446111B">
            <wp:extent cx="6116320" cy="2250440"/>
            <wp:effectExtent l="0" t="0" r="5080" b="10160"/>
            <wp:docPr id="7" name="Kaavi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679B871" w14:textId="41178078" w:rsidR="00B11D40" w:rsidRDefault="00B11D40" w:rsidP="006672CD">
      <w:pPr>
        <w:rPr>
          <w:lang w:eastAsia="fi-FI"/>
        </w:rPr>
      </w:pPr>
      <w:r>
        <w:rPr>
          <w:lang w:eastAsia="fi-FI"/>
        </w:rPr>
        <w:t xml:space="preserve">Kuva </w:t>
      </w:r>
      <w:r w:rsidR="00CC4C73">
        <w:rPr>
          <w:lang w:eastAsia="fi-FI"/>
        </w:rPr>
        <w:t>4</w:t>
      </w:r>
      <w:r>
        <w:rPr>
          <w:lang w:eastAsia="fi-FI"/>
        </w:rPr>
        <w:t xml:space="preserve">. </w:t>
      </w:r>
      <w:r w:rsidR="005E26C5">
        <w:rPr>
          <w:lang w:eastAsia="fi-FI"/>
        </w:rPr>
        <w:t>Vanhemmuuden ja huippu-urheilun yhteensopivuus</w:t>
      </w:r>
    </w:p>
    <w:p w14:paraId="783548DD" w14:textId="77777777" w:rsidR="00353158" w:rsidRDefault="00353158" w:rsidP="006672CD">
      <w:pPr>
        <w:rPr>
          <w:lang w:eastAsia="fi-FI"/>
        </w:rPr>
      </w:pPr>
    </w:p>
    <w:p w14:paraId="38A7C1F7" w14:textId="77777777" w:rsidR="00C45237" w:rsidRDefault="00C45237">
      <w:pPr>
        <w:rPr>
          <w:lang w:eastAsia="fi-FI"/>
        </w:rPr>
      </w:pPr>
    </w:p>
    <w:p w14:paraId="6446D705" w14:textId="697ED0A7" w:rsidR="00E634C0" w:rsidRPr="00E634C0" w:rsidRDefault="00E634C0">
      <w:pPr>
        <w:rPr>
          <w:b/>
          <w:lang w:eastAsia="fi-FI"/>
        </w:rPr>
      </w:pPr>
      <w:r w:rsidRPr="00E634C0">
        <w:rPr>
          <w:b/>
          <w:lang w:eastAsia="fi-FI"/>
        </w:rPr>
        <w:t xml:space="preserve">Syrjintä urheiluympäristöissä </w:t>
      </w:r>
    </w:p>
    <w:p w14:paraId="0CB3D1A8" w14:textId="77777777" w:rsidR="00E634C0" w:rsidRDefault="00E634C0">
      <w:pPr>
        <w:rPr>
          <w:lang w:eastAsia="fi-FI"/>
        </w:rPr>
      </w:pPr>
    </w:p>
    <w:p w14:paraId="0753B0A3" w14:textId="334B07E0" w:rsidR="00F534E5" w:rsidRDefault="00CD2C31">
      <w:pPr>
        <w:rPr>
          <w:lang w:eastAsia="fi-FI"/>
        </w:rPr>
      </w:pPr>
      <w:r>
        <w:rPr>
          <w:lang w:eastAsia="fi-FI"/>
        </w:rPr>
        <w:t xml:space="preserve">Vastaajilta kysyttiin </w:t>
      </w:r>
      <w:r w:rsidR="00FA6BEB">
        <w:rPr>
          <w:lang w:eastAsia="fi-FI"/>
        </w:rPr>
        <w:t xml:space="preserve">myös </w:t>
      </w:r>
      <w:r>
        <w:rPr>
          <w:lang w:eastAsia="fi-FI"/>
        </w:rPr>
        <w:t>heidän kokemuksistaan oikeudenmukaisuuden, moninaisuuden ja inkluusion (OMI) toteutumisesta urheiluympäristöissä, joissa he ovat toimineet.</w:t>
      </w:r>
      <w:r w:rsidR="00A51310">
        <w:rPr>
          <w:lang w:eastAsia="fi-FI"/>
        </w:rPr>
        <w:t xml:space="preserve"> </w:t>
      </w:r>
      <w:r w:rsidR="006B062F">
        <w:rPr>
          <w:lang w:eastAsia="fi-FI"/>
        </w:rPr>
        <w:t xml:space="preserve">Kysyttäessä OMIn edistämisen tärkeydestä henkilökohtaiselle turvallisuudelle, </w:t>
      </w:r>
      <w:r w:rsidR="001C631D">
        <w:rPr>
          <w:lang w:eastAsia="fi-FI"/>
        </w:rPr>
        <w:t xml:space="preserve">kolmasosa vastaajista oli </w:t>
      </w:r>
      <w:r w:rsidR="00F534E5">
        <w:rPr>
          <w:lang w:eastAsia="fi-FI"/>
        </w:rPr>
        <w:t xml:space="preserve">vahvasti samaa mieltä tai </w:t>
      </w:r>
      <w:r w:rsidR="001C631D">
        <w:rPr>
          <w:lang w:eastAsia="fi-FI"/>
        </w:rPr>
        <w:t>samaa mieltä</w:t>
      </w:r>
      <w:r w:rsidR="00F534E5">
        <w:rPr>
          <w:lang w:eastAsia="fi-FI"/>
        </w:rPr>
        <w:t xml:space="preserve"> siitä, että OMI:n edistäminen urheilussa on tärkeää heidän henkilökohtaiselle turvallisuudelleen</w:t>
      </w:r>
      <w:r w:rsidR="001C631D">
        <w:rPr>
          <w:lang w:eastAsia="fi-FI"/>
        </w:rPr>
        <w:t xml:space="preserve">. </w:t>
      </w:r>
      <w:r w:rsidR="002D6CE6">
        <w:rPr>
          <w:lang w:eastAsia="fi-FI"/>
        </w:rPr>
        <w:t xml:space="preserve">Noin 10 % </w:t>
      </w:r>
      <w:r w:rsidR="00F534E5">
        <w:rPr>
          <w:lang w:eastAsia="fi-FI"/>
        </w:rPr>
        <w:t xml:space="preserve">vastaajista </w:t>
      </w:r>
      <w:r w:rsidR="002D6CE6">
        <w:rPr>
          <w:lang w:eastAsia="fi-FI"/>
        </w:rPr>
        <w:t xml:space="preserve">oli sitä mieltä, että </w:t>
      </w:r>
      <w:r w:rsidR="00F534E5">
        <w:rPr>
          <w:lang w:eastAsia="fi-FI"/>
        </w:rPr>
        <w:t>heidän</w:t>
      </w:r>
      <w:r w:rsidR="00E634C0">
        <w:rPr>
          <w:lang w:eastAsia="fi-FI"/>
        </w:rPr>
        <w:t xml:space="preserve"> </w:t>
      </w:r>
      <w:r w:rsidR="002D6CE6">
        <w:rPr>
          <w:lang w:eastAsia="fi-FI"/>
        </w:rPr>
        <w:t>näkemykse</w:t>
      </w:r>
      <w:r w:rsidR="00F534E5">
        <w:rPr>
          <w:lang w:eastAsia="fi-FI"/>
        </w:rPr>
        <w:t>nsä</w:t>
      </w:r>
      <w:r w:rsidR="002D6CE6">
        <w:rPr>
          <w:lang w:eastAsia="fi-FI"/>
        </w:rPr>
        <w:t xml:space="preserve"> OMIsta eivät ol</w:t>
      </w:r>
      <w:r w:rsidR="00F534E5">
        <w:rPr>
          <w:lang w:eastAsia="fi-FI"/>
        </w:rPr>
        <w:t>e</w:t>
      </w:r>
      <w:r w:rsidR="002D6CE6">
        <w:rPr>
          <w:lang w:eastAsia="fi-FI"/>
        </w:rPr>
        <w:t xml:space="preserve"> </w:t>
      </w:r>
      <w:r w:rsidR="00FA6BEB">
        <w:rPr>
          <w:lang w:eastAsia="fi-FI"/>
        </w:rPr>
        <w:t>sopusoinnussa</w:t>
      </w:r>
      <w:r w:rsidR="00E3134B">
        <w:rPr>
          <w:lang w:eastAsia="fi-FI"/>
        </w:rPr>
        <w:t xml:space="preserve"> </w:t>
      </w:r>
      <w:r w:rsidR="002D6CE6">
        <w:rPr>
          <w:lang w:eastAsia="fi-FI"/>
        </w:rPr>
        <w:t xml:space="preserve">urheilujärjestön tai joukkueen päivittäisten käytäntöjen kanssa. </w:t>
      </w:r>
    </w:p>
    <w:p w14:paraId="733966AD" w14:textId="77777777" w:rsidR="00F534E5" w:rsidRDefault="00F534E5">
      <w:pPr>
        <w:rPr>
          <w:lang w:eastAsia="fi-FI"/>
        </w:rPr>
      </w:pPr>
    </w:p>
    <w:p w14:paraId="414DC158" w14:textId="0CF2DCFB" w:rsidR="0080783A" w:rsidRDefault="00FA7DC8">
      <w:pPr>
        <w:rPr>
          <w:lang w:eastAsia="fi-FI"/>
        </w:rPr>
      </w:pPr>
      <w:r w:rsidRPr="00180AA3">
        <w:rPr>
          <w:b/>
          <w:bCs/>
          <w:lang w:eastAsia="fi-FI"/>
        </w:rPr>
        <w:t>Vastaajista noin viide</w:t>
      </w:r>
      <w:r w:rsidR="00414D89" w:rsidRPr="00180AA3">
        <w:rPr>
          <w:b/>
          <w:bCs/>
          <w:lang w:eastAsia="fi-FI"/>
        </w:rPr>
        <w:t>s</w:t>
      </w:r>
      <w:r w:rsidRPr="00180AA3">
        <w:rPr>
          <w:b/>
          <w:bCs/>
          <w:lang w:eastAsia="fi-FI"/>
        </w:rPr>
        <w:t>osa raportoi, että he ovat nähneet jotakuta syrjittävän urheilu</w:t>
      </w:r>
      <w:r w:rsidR="00F534E5" w:rsidRPr="00180AA3">
        <w:rPr>
          <w:b/>
          <w:bCs/>
          <w:lang w:eastAsia="fi-FI"/>
        </w:rPr>
        <w:t>ympäristössä</w:t>
      </w:r>
      <w:r w:rsidRPr="00180AA3">
        <w:rPr>
          <w:b/>
          <w:bCs/>
          <w:lang w:eastAsia="fi-FI"/>
        </w:rPr>
        <w:t xml:space="preserve"> vähemmistöidentiteetin takia.</w:t>
      </w:r>
      <w:r w:rsidR="00414D89" w:rsidRPr="00180AA3">
        <w:rPr>
          <w:b/>
          <w:bCs/>
          <w:lang w:eastAsia="fi-FI"/>
        </w:rPr>
        <w:t xml:space="preserve"> Yhtä moni</w:t>
      </w:r>
      <w:r w:rsidR="00EB2609" w:rsidRPr="00180AA3">
        <w:rPr>
          <w:b/>
          <w:bCs/>
          <w:lang w:eastAsia="fi-FI"/>
        </w:rPr>
        <w:t xml:space="preserve"> k</w:t>
      </w:r>
      <w:r w:rsidR="00414D89" w:rsidRPr="00180AA3">
        <w:rPr>
          <w:b/>
          <w:bCs/>
          <w:lang w:eastAsia="fi-FI"/>
        </w:rPr>
        <w:t>oki, että heitä on syrjitty identiteetin takia</w:t>
      </w:r>
      <w:r w:rsidR="00414D89">
        <w:rPr>
          <w:lang w:eastAsia="fi-FI"/>
        </w:rPr>
        <w:t xml:space="preserve"> </w:t>
      </w:r>
      <w:r w:rsidR="00414D89" w:rsidRPr="00414D89">
        <w:t>(</w:t>
      </w:r>
      <w:r w:rsidR="00414D89">
        <w:rPr>
          <w:lang w:eastAsia="fi-FI"/>
        </w:rPr>
        <w:t xml:space="preserve">esim. </w:t>
      </w:r>
      <w:r w:rsidR="00795D11">
        <w:rPr>
          <w:lang w:eastAsia="fi-FI"/>
        </w:rPr>
        <w:t xml:space="preserve">heitä </w:t>
      </w:r>
      <w:r w:rsidR="00F534E5">
        <w:rPr>
          <w:lang w:eastAsia="fi-FI"/>
        </w:rPr>
        <w:t>on estetty</w:t>
      </w:r>
      <w:r w:rsidR="00414D89" w:rsidRPr="00414D89">
        <w:rPr>
          <w:lang w:eastAsia="fi-FI"/>
        </w:rPr>
        <w:t xml:space="preserve"> osallistu</w:t>
      </w:r>
      <w:r w:rsidR="00F534E5">
        <w:rPr>
          <w:lang w:eastAsia="fi-FI"/>
        </w:rPr>
        <w:t>masta</w:t>
      </w:r>
      <w:r w:rsidR="00414D89" w:rsidRPr="00414D89">
        <w:rPr>
          <w:lang w:eastAsia="fi-FI"/>
        </w:rPr>
        <w:t xml:space="preserve"> urheiluun, ammatti</w:t>
      </w:r>
      <w:r w:rsidR="00F534E5">
        <w:rPr>
          <w:lang w:eastAsia="fi-FI"/>
        </w:rPr>
        <w:t>in</w:t>
      </w:r>
      <w:r w:rsidR="00414D89" w:rsidRPr="00414D89">
        <w:rPr>
          <w:lang w:eastAsia="fi-FI"/>
        </w:rPr>
        <w:t xml:space="preserve"> liittyvä ylennys on evätty, </w:t>
      </w:r>
      <w:r w:rsidR="00E3134B">
        <w:rPr>
          <w:lang w:eastAsia="fi-FI"/>
        </w:rPr>
        <w:t>eivät ole kokeneet</w:t>
      </w:r>
      <w:r w:rsidR="00414D89" w:rsidRPr="00414D89">
        <w:rPr>
          <w:lang w:eastAsia="fi-FI"/>
        </w:rPr>
        <w:t xml:space="preserve"> oloa</w:t>
      </w:r>
      <w:r w:rsidR="00F534E5">
        <w:rPr>
          <w:lang w:eastAsia="fi-FI"/>
        </w:rPr>
        <w:t>an</w:t>
      </w:r>
      <w:r w:rsidR="00414D89" w:rsidRPr="00414D89">
        <w:rPr>
          <w:lang w:eastAsia="fi-FI"/>
        </w:rPr>
        <w:t xml:space="preserve"> tarpeeksi turvalliseksi mielipite</w:t>
      </w:r>
      <w:r w:rsidR="00F534E5">
        <w:rPr>
          <w:lang w:eastAsia="fi-FI"/>
        </w:rPr>
        <w:t>ensä jakamiseen</w:t>
      </w:r>
      <w:r w:rsidR="00414D89" w:rsidRPr="00414D89">
        <w:rPr>
          <w:lang w:eastAsia="fi-FI"/>
        </w:rPr>
        <w:t xml:space="preserve">, </w:t>
      </w:r>
      <w:r w:rsidR="00E3134B">
        <w:rPr>
          <w:lang w:eastAsia="fi-FI"/>
        </w:rPr>
        <w:t>ovat tulleet</w:t>
      </w:r>
      <w:r w:rsidR="00414D89" w:rsidRPr="00414D89">
        <w:rPr>
          <w:lang w:eastAsia="fi-FI"/>
        </w:rPr>
        <w:t xml:space="preserve"> kiusat</w:t>
      </w:r>
      <w:r w:rsidR="00F534E5">
        <w:rPr>
          <w:lang w:eastAsia="fi-FI"/>
        </w:rPr>
        <w:t>uksi</w:t>
      </w:r>
      <w:r w:rsidR="00414D89" w:rsidRPr="00414D89">
        <w:rPr>
          <w:lang w:eastAsia="fi-FI"/>
        </w:rPr>
        <w:t>, uhkai</w:t>
      </w:r>
      <w:r w:rsidR="00795D11">
        <w:rPr>
          <w:lang w:eastAsia="fi-FI"/>
        </w:rPr>
        <w:t>lluksi</w:t>
      </w:r>
      <w:r w:rsidR="00414D89" w:rsidRPr="00414D89">
        <w:rPr>
          <w:lang w:eastAsia="fi-FI"/>
        </w:rPr>
        <w:t xml:space="preserve"> tai ahdiste</w:t>
      </w:r>
      <w:r w:rsidR="00795D11">
        <w:rPr>
          <w:lang w:eastAsia="fi-FI"/>
        </w:rPr>
        <w:t>lluksi</w:t>
      </w:r>
      <w:r w:rsidR="00414D89" w:rsidRPr="00414D89">
        <w:rPr>
          <w:lang w:eastAsia="fi-FI"/>
        </w:rPr>
        <w:t>)</w:t>
      </w:r>
      <w:r w:rsidR="00414D89">
        <w:rPr>
          <w:lang w:eastAsia="fi-FI"/>
        </w:rPr>
        <w:t>.</w:t>
      </w:r>
      <w:r>
        <w:rPr>
          <w:lang w:eastAsia="fi-FI"/>
        </w:rPr>
        <w:t xml:space="preserve"> </w:t>
      </w:r>
      <w:r w:rsidR="00F534E5">
        <w:rPr>
          <w:lang w:eastAsia="fi-FI"/>
        </w:rPr>
        <w:t>Vastaajista</w:t>
      </w:r>
      <w:r w:rsidR="00414D89">
        <w:rPr>
          <w:lang w:eastAsia="fi-FI"/>
        </w:rPr>
        <w:t xml:space="preserve"> 5 % </w:t>
      </w:r>
      <w:r w:rsidR="0016452E">
        <w:rPr>
          <w:lang w:eastAsia="fi-FI"/>
        </w:rPr>
        <w:t xml:space="preserve">puolestaan </w:t>
      </w:r>
      <w:r w:rsidR="00F534E5">
        <w:rPr>
          <w:lang w:eastAsia="fi-FI"/>
        </w:rPr>
        <w:t xml:space="preserve">kertoi </w:t>
      </w:r>
      <w:r w:rsidR="00BF51E8">
        <w:rPr>
          <w:lang w:eastAsia="fi-FI"/>
        </w:rPr>
        <w:t>havainneensa</w:t>
      </w:r>
      <w:r w:rsidR="00414D89">
        <w:rPr>
          <w:lang w:eastAsia="fi-FI"/>
        </w:rPr>
        <w:t xml:space="preserve"> syrjintää vanhemmuusidentiteetin takia. </w:t>
      </w:r>
      <w:r w:rsidR="0080783A">
        <w:rPr>
          <w:lang w:eastAsia="fi-FI"/>
        </w:rPr>
        <w:t>Avovastauksissa vastaajat raportoivat kokeneensa kaltoinkohtelua (esim. kiusaamista, seksuaalista häirintää ja nöyryyttämistä), syrjintää (esim. sukupuolen, kielen, vamman, uskonnon ja vähemmistöön kuulumisen vuoksi) sekä turvattomuutta (esim. vähättelyä ja hiljentämistä).</w:t>
      </w:r>
    </w:p>
    <w:p w14:paraId="2DFA7826" w14:textId="0A455BAE" w:rsidR="00353158" w:rsidRDefault="00795D11">
      <w:pPr>
        <w:rPr>
          <w:lang w:eastAsia="fi-FI"/>
        </w:rPr>
      </w:pPr>
      <w:r>
        <w:rPr>
          <w:lang w:eastAsia="fi-FI"/>
        </w:rPr>
        <w:t>Näiden syrjintäkokemusten tarkempi analyysi on</w:t>
      </w:r>
      <w:r w:rsidR="0080783A">
        <w:rPr>
          <w:lang w:eastAsia="fi-FI"/>
        </w:rPr>
        <w:t xml:space="preserve"> erittäin</w:t>
      </w:r>
      <w:r>
        <w:rPr>
          <w:lang w:eastAsia="fi-FI"/>
        </w:rPr>
        <w:t xml:space="preserve"> tarpeellista turvallisempien ja oikeudenmukaisempien huippu-urheiluympäristöjen luomiseksi.</w:t>
      </w:r>
    </w:p>
    <w:p w14:paraId="31CAAE77" w14:textId="77777777" w:rsidR="00874790" w:rsidRDefault="00874790">
      <w:pPr>
        <w:rPr>
          <w:lang w:eastAsia="fi-FI"/>
        </w:rPr>
      </w:pPr>
    </w:p>
    <w:p w14:paraId="2F94674D" w14:textId="77777777" w:rsidR="0029580D" w:rsidRDefault="0029580D" w:rsidP="0029580D"/>
    <w:p w14:paraId="37AB85EB" w14:textId="77777777" w:rsidR="0029580D" w:rsidRDefault="0029580D">
      <w:pPr>
        <w:rPr>
          <w:lang w:eastAsia="fi-FI"/>
        </w:rPr>
      </w:pPr>
    </w:p>
    <w:p w14:paraId="7A345F79" w14:textId="2687D1FF" w:rsidR="00874790" w:rsidRDefault="00874790">
      <w:pPr>
        <w:rPr>
          <w:lang w:eastAsia="fi-FI"/>
        </w:rPr>
      </w:pPr>
      <w:r>
        <w:rPr>
          <w:noProof/>
          <w:lang w:eastAsia="fi-FI"/>
        </w:rPr>
        <w:lastRenderedPageBreak/>
        <w:drawing>
          <wp:inline distT="0" distB="0" distL="0" distR="0" wp14:anchorId="438FE161" wp14:editId="4B78E000">
            <wp:extent cx="6116320" cy="2250440"/>
            <wp:effectExtent l="0" t="0" r="5080" b="10160"/>
            <wp:docPr id="29" name="Kaavio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7364F44" w14:textId="77777777" w:rsidR="00A76C48" w:rsidRDefault="00A76C48">
      <w:pPr>
        <w:rPr>
          <w:lang w:eastAsia="fi-FI"/>
        </w:rPr>
      </w:pPr>
    </w:p>
    <w:p w14:paraId="6A7595DF" w14:textId="5C2D0D23" w:rsidR="00874790" w:rsidRDefault="00874790">
      <w:pPr>
        <w:rPr>
          <w:lang w:eastAsia="fi-FI"/>
        </w:rPr>
      </w:pPr>
      <w:r>
        <w:rPr>
          <w:lang w:eastAsia="fi-FI"/>
        </w:rPr>
        <w:t xml:space="preserve">Kuva </w:t>
      </w:r>
      <w:r w:rsidR="00AF0FC9">
        <w:rPr>
          <w:lang w:eastAsia="fi-FI"/>
        </w:rPr>
        <w:t>5</w:t>
      </w:r>
      <w:r>
        <w:rPr>
          <w:lang w:eastAsia="fi-FI"/>
        </w:rPr>
        <w:t>. Kokemus syrjinnästä johtuen omasta identiteetistä</w:t>
      </w:r>
      <w:r w:rsidR="009C6531">
        <w:rPr>
          <w:lang w:eastAsia="fi-FI"/>
        </w:rPr>
        <w:t>, vähemmistöidentiteetistä ja vanhemmuusidentiteetistä</w:t>
      </w:r>
      <w:r>
        <w:rPr>
          <w:lang w:eastAsia="fi-FI"/>
        </w:rPr>
        <w:t xml:space="preserve">. </w:t>
      </w:r>
    </w:p>
    <w:p w14:paraId="05BE8672" w14:textId="77777777" w:rsidR="00EA16CE" w:rsidRDefault="00EA16CE">
      <w:pPr>
        <w:rPr>
          <w:lang w:eastAsia="fi-FI"/>
        </w:rPr>
      </w:pPr>
    </w:p>
    <w:p w14:paraId="160CC5AB" w14:textId="77777777" w:rsidR="00EA16CE" w:rsidRPr="00414D89" w:rsidRDefault="00EA16CE">
      <w:pPr>
        <w:rPr>
          <w:rFonts w:ascii="Times New Roman" w:eastAsia="Times New Roman" w:hAnsi="Times New Roman" w:cs="Times New Roman"/>
          <w:lang w:eastAsia="fi-FI"/>
        </w:rPr>
      </w:pPr>
    </w:p>
    <w:p w14:paraId="4C94C7A4" w14:textId="24BA73F0" w:rsidR="008F3A0E" w:rsidRDefault="008F3A0E">
      <w:r>
        <w:rPr>
          <w:b/>
        </w:rPr>
        <w:t>Johtopäätökset ja tutkimushankkeen jatko</w:t>
      </w:r>
    </w:p>
    <w:p w14:paraId="4BDBC888" w14:textId="28262ECC" w:rsidR="008F3A0E" w:rsidRDefault="008F3A0E" w:rsidP="00BF51E8">
      <w:r>
        <w:t xml:space="preserve">Kyselyn </w:t>
      </w:r>
      <w:r w:rsidRPr="00513473">
        <w:t>alustavat tulokset viittaavat s</w:t>
      </w:r>
      <w:r>
        <w:t xml:space="preserve">iihen, että vastaajat ovat kohdanneet urheiluympäristöissä </w:t>
      </w:r>
      <w:r w:rsidR="00ED013D">
        <w:t xml:space="preserve">hyvin </w:t>
      </w:r>
      <w:r>
        <w:t>erilaisia</w:t>
      </w:r>
      <w:r w:rsidR="00ED013D">
        <w:t xml:space="preserve"> eriarvoisuuden ja syrjinnän</w:t>
      </w:r>
      <w:r>
        <w:t xml:space="preserve"> muotoja. </w:t>
      </w:r>
      <w:r w:rsidR="00ED013D">
        <w:t xml:space="preserve">Samalla </w:t>
      </w:r>
      <w:r>
        <w:t>yleinen tietoisuus tasa-arvon edistämisestä ja siihen liittyvistä toimenpiteistä urheiluorganisaatio</w:t>
      </w:r>
      <w:r w:rsidR="00ED013D">
        <w:t>iden toiminnassa</w:t>
      </w:r>
      <w:r>
        <w:t xml:space="preserve"> oli melko vähäistä.</w:t>
      </w:r>
      <w:r w:rsidR="00EF7760">
        <w:t xml:space="preserve"> </w:t>
      </w:r>
      <w:r w:rsidR="00BF51E8">
        <w:t>T</w:t>
      </w:r>
      <w:r>
        <w:t xml:space="preserve">asa-arvon lisäämiseksi </w:t>
      </w:r>
      <w:r w:rsidR="00BF51E8">
        <w:t>kriittistä tarkastelua</w:t>
      </w:r>
      <w:r w:rsidR="00ED013D">
        <w:t xml:space="preserve"> </w:t>
      </w:r>
      <w:r w:rsidR="00BF51E8">
        <w:t>sukupuol</w:t>
      </w:r>
      <w:r w:rsidR="00ED013D">
        <w:t>ittuneesta</w:t>
      </w:r>
      <w:r w:rsidR="00BF51E8">
        <w:t xml:space="preserve"> eriarvoisuude</w:t>
      </w:r>
      <w:r w:rsidR="00ED013D">
        <w:t xml:space="preserve">sta </w:t>
      </w:r>
      <w:r w:rsidR="000941A4">
        <w:t>sekä sen linkittymisestä</w:t>
      </w:r>
      <w:r w:rsidR="00BF51E8">
        <w:t xml:space="preserve"> </w:t>
      </w:r>
      <w:r w:rsidR="000941A4">
        <w:t>toisenlaisiin</w:t>
      </w:r>
      <w:r w:rsidR="00ED013D">
        <w:t xml:space="preserve"> eriarvoisuuden</w:t>
      </w:r>
      <w:r w:rsidR="000941A4">
        <w:t xml:space="preserve"> muotoihin</w:t>
      </w:r>
      <w:r w:rsidR="00BB7845">
        <w:t>,</w:t>
      </w:r>
      <w:r w:rsidR="00ED013D">
        <w:t xml:space="preserve"> kuten </w:t>
      </w:r>
      <w:r>
        <w:t xml:space="preserve">iän, etnisyyden, seksuaalisuuden </w:t>
      </w:r>
      <w:r w:rsidR="000941A4">
        <w:t>tai</w:t>
      </w:r>
      <w:r>
        <w:t xml:space="preserve"> vanhemmuuden </w:t>
      </w:r>
      <w:r w:rsidR="000941A4">
        <w:t>perusteella tapahtuvaan syrjintään ja epätasa-arvoon</w:t>
      </w:r>
      <w:r w:rsidR="00BF51E8">
        <w:t xml:space="preserve"> on tarpeen jatkaa.</w:t>
      </w:r>
      <w:r w:rsidR="000E1599">
        <w:t xml:space="preserve"> </w:t>
      </w:r>
      <w:r w:rsidR="00BF51E8">
        <w:t>E</w:t>
      </w:r>
      <w:r>
        <w:t xml:space="preserve">riarvoisuuden </w:t>
      </w:r>
      <w:r w:rsidR="00BF51E8">
        <w:t xml:space="preserve">monista muodoista sekä </w:t>
      </w:r>
      <w:r w:rsidR="00ED013D">
        <w:t xml:space="preserve">keinoista </w:t>
      </w:r>
      <w:r w:rsidR="000941A4">
        <w:t>sen vähentämiseksi</w:t>
      </w:r>
      <w:r w:rsidR="00BF51E8">
        <w:t xml:space="preserve"> urheilijoiden urilla</w:t>
      </w:r>
      <w:r>
        <w:t xml:space="preserve"> on syytä jatkaa</w:t>
      </w:r>
      <w:r w:rsidR="00BF51E8">
        <w:t xml:space="preserve"> tiivistä</w:t>
      </w:r>
      <w:r>
        <w:t xml:space="preserve"> keskustelua huippu-urheilun piirissä</w:t>
      </w:r>
      <w:r w:rsidR="00436BEF">
        <w:t xml:space="preserve">. </w:t>
      </w:r>
    </w:p>
    <w:p w14:paraId="03C314D0" w14:textId="77777777" w:rsidR="00675350" w:rsidRDefault="00675350" w:rsidP="00D41896">
      <w:pPr>
        <w:contextualSpacing/>
      </w:pPr>
    </w:p>
    <w:p w14:paraId="4CBE9B1B" w14:textId="0B3C766E" w:rsidR="00AB748D" w:rsidRPr="00D41896" w:rsidRDefault="00AB748D" w:rsidP="00D41896">
      <w:pPr>
        <w:contextualSpacing/>
        <w:rPr>
          <w:rFonts w:cstheme="minorHAnsi"/>
        </w:rPr>
      </w:pPr>
    </w:p>
    <w:p w14:paraId="77AE266A" w14:textId="77777777" w:rsidR="00AB748D" w:rsidRDefault="00AB748D" w:rsidP="00D41896">
      <w:pPr>
        <w:contextualSpacing/>
      </w:pPr>
    </w:p>
    <w:p w14:paraId="7204D08C" w14:textId="1DFC2AA7" w:rsidR="00AB748D" w:rsidRPr="00ED5517" w:rsidRDefault="00AB748D" w:rsidP="00D41896">
      <w:pPr>
        <w:contextualSpacing/>
        <w:rPr>
          <w:b/>
          <w:bCs/>
        </w:rPr>
      </w:pPr>
      <w:r w:rsidRPr="00ED5517">
        <w:rPr>
          <w:b/>
          <w:bCs/>
        </w:rPr>
        <w:t xml:space="preserve">Viitteet: </w:t>
      </w:r>
    </w:p>
    <w:p w14:paraId="58BC28C8" w14:textId="77777777" w:rsidR="00AB748D" w:rsidRDefault="00AB748D"/>
    <w:p w14:paraId="5D34DFEC" w14:textId="388FA572" w:rsidR="00D34E21" w:rsidRPr="00F81998" w:rsidRDefault="00D34E21" w:rsidP="00D34E21">
      <w:pPr>
        <w:rPr>
          <w:rFonts w:cstheme="minorHAnsi"/>
        </w:rPr>
      </w:pPr>
      <w:r w:rsidRPr="00F81998">
        <w:rPr>
          <w:rFonts w:cstheme="minorHAnsi"/>
        </w:rPr>
        <w:t>Kokkonen, M. (2012)</w:t>
      </w:r>
      <w:r w:rsidR="009361F5">
        <w:rPr>
          <w:rFonts w:cstheme="minorHAnsi"/>
        </w:rPr>
        <w:t>.</w:t>
      </w:r>
      <w:r w:rsidRPr="00F81998">
        <w:rPr>
          <w:rFonts w:cstheme="minorHAnsi"/>
        </w:rPr>
        <w:t xml:space="preserve"> Seksuaali- ja sukupuolivähemmistöjen syrjintä</w:t>
      </w:r>
    </w:p>
    <w:p w14:paraId="067B85FB" w14:textId="6E3C5226" w:rsidR="00D34E21" w:rsidRPr="00F81998" w:rsidRDefault="00D34E21" w:rsidP="00D34E21">
      <w:pPr>
        <w:rPr>
          <w:rFonts w:cstheme="minorHAnsi"/>
        </w:rPr>
      </w:pPr>
      <w:r w:rsidRPr="00F81998">
        <w:rPr>
          <w:rFonts w:cstheme="minorHAnsi"/>
        </w:rPr>
        <w:t>liikunnan ja urheilun parissa. Valtion liikuntaneuvoston julkaisuja 2012:5.</w:t>
      </w:r>
    </w:p>
    <w:p w14:paraId="1B89C517" w14:textId="3EFB82C4" w:rsidR="00D34E21" w:rsidRPr="00F81998" w:rsidRDefault="00D34E21">
      <w:pPr>
        <w:rPr>
          <w:rFonts w:cstheme="minorHAnsi"/>
        </w:rPr>
      </w:pPr>
      <w:r w:rsidRPr="00F81998">
        <w:rPr>
          <w:rFonts w:cstheme="minorHAnsi"/>
        </w:rPr>
        <w:t>https://www.liikuntaneuvosto.fi/wp-content/uploads/2019/09/Seksuaali-ja-sukupuoliv%C3%A4hemmist%C3%B6t-raportti.pdf</w:t>
      </w:r>
    </w:p>
    <w:p w14:paraId="74BE3613" w14:textId="77777777" w:rsidR="00D34E21" w:rsidRPr="00F81998" w:rsidRDefault="00D34E21">
      <w:pPr>
        <w:rPr>
          <w:rFonts w:cstheme="minorHAnsi"/>
        </w:rPr>
      </w:pPr>
    </w:p>
    <w:p w14:paraId="6068722E" w14:textId="58026681" w:rsidR="00D00B3A" w:rsidRDefault="00AB748D">
      <w:pPr>
        <w:rPr>
          <w:rFonts w:cstheme="minorHAnsi"/>
          <w:color w:val="000000"/>
          <w:shd w:val="clear" w:color="auto" w:fill="FFFFFF"/>
        </w:rPr>
      </w:pPr>
      <w:r w:rsidRPr="00D12ADB">
        <w:rPr>
          <w:rFonts w:cstheme="minorHAnsi"/>
          <w:color w:val="000000"/>
          <w:shd w:val="clear" w:color="auto" w:fill="FFFFFF"/>
        </w:rPr>
        <w:t>Lehtonen, J. (2007)</w:t>
      </w:r>
      <w:r w:rsidR="009361F5">
        <w:rPr>
          <w:rFonts w:cstheme="minorHAnsi"/>
          <w:color w:val="000000"/>
          <w:shd w:val="clear" w:color="auto" w:fill="FFFFFF"/>
        </w:rPr>
        <w:t>.</w:t>
      </w:r>
      <w:r w:rsidRPr="00D12ADB">
        <w:rPr>
          <w:rFonts w:cstheme="minorHAnsi"/>
          <w:color w:val="000000"/>
          <w:shd w:val="clear" w:color="auto" w:fill="FFFFFF"/>
        </w:rPr>
        <w:t> </w:t>
      </w:r>
      <w:r w:rsidRPr="00F81998">
        <w:rPr>
          <w:rFonts w:cstheme="minorHAnsi"/>
        </w:rPr>
        <w:t>Seksuaalis</w:t>
      </w:r>
      <w:r w:rsidR="00F73053" w:rsidRPr="00D12ADB">
        <w:rPr>
          <w:rFonts w:cstheme="minorHAnsi"/>
          <w:shd w:val="clear" w:color="auto" w:fill="FFFFFF"/>
        </w:rPr>
        <w:t>e</w:t>
      </w:r>
      <w:r w:rsidRPr="00F81998">
        <w:rPr>
          <w:rFonts w:cstheme="minorHAnsi"/>
        </w:rPr>
        <w:t>en suuntautumise</w:t>
      </w:r>
      <w:r w:rsidR="00F73053" w:rsidRPr="00D12ADB">
        <w:rPr>
          <w:rFonts w:cstheme="minorHAnsi"/>
          <w:shd w:val="clear" w:color="auto" w:fill="FFFFFF"/>
        </w:rPr>
        <w:t>e</w:t>
      </w:r>
      <w:r w:rsidRPr="00F81998">
        <w:rPr>
          <w:rFonts w:cstheme="minorHAnsi"/>
        </w:rPr>
        <w:t>n ja sukupuolen moninaisuuteen liittyvä syrjintä</w:t>
      </w:r>
      <w:r w:rsidRPr="00D12ADB">
        <w:rPr>
          <w:rFonts w:cstheme="minorHAnsi"/>
          <w:color w:val="000000"/>
          <w:shd w:val="clear" w:color="auto" w:fill="FFFFFF"/>
        </w:rPr>
        <w:t>. Teoksessa: Lepola, O. &amp; Villa, S. (toim.) Syrjintä Suomessa 2006. Helsinki: Ihmisoikeusliitto.</w:t>
      </w:r>
    </w:p>
    <w:p w14:paraId="3F4CF4AC" w14:textId="77777777" w:rsidR="00D00B3A" w:rsidRDefault="00D00B3A">
      <w:pPr>
        <w:rPr>
          <w:rFonts w:cstheme="minorHAnsi"/>
          <w:color w:val="000000"/>
          <w:shd w:val="clear" w:color="auto" w:fill="FFFFFF"/>
        </w:rPr>
      </w:pPr>
    </w:p>
    <w:p w14:paraId="76995015" w14:textId="2324D4A6" w:rsidR="00D00B3A" w:rsidRPr="00D12ADB" w:rsidRDefault="00D00B3A" w:rsidP="00D12ADB">
      <w:pPr>
        <w:spacing w:after="240" w:line="276" w:lineRule="auto"/>
        <w:rPr>
          <w:rFonts w:cstheme="minorHAnsi"/>
        </w:rPr>
      </w:pPr>
      <w:r w:rsidRPr="00D12ADB">
        <w:rPr>
          <w:rFonts w:cstheme="minorHAnsi"/>
        </w:rPr>
        <w:t xml:space="preserve">Lehtonen, K., Oja, S. &amp; Hakamäki, M. (2022). Liikunnan ja urheilun tasa-arvo Suomessa 2021. Opetus- ja kulttuuriministeriön julkaisuja 2022:5. </w:t>
      </w:r>
      <w:hyperlink r:id="rId10" w:history="1">
        <w:r w:rsidRPr="00D12ADB">
          <w:rPr>
            <w:rStyle w:val="Hyperlink"/>
            <w:rFonts w:cstheme="minorHAnsi"/>
          </w:rPr>
          <w:t>https://julkaisut.valtioneuvosto.fi/bitstream/handle/10024/163828/OKM_2022_5.pdf?sequence=4&amp;isAllowed=y</w:t>
        </w:r>
      </w:hyperlink>
    </w:p>
    <w:p w14:paraId="29CEFEC7" w14:textId="77777777" w:rsidR="00F7743F" w:rsidRPr="00D12ADB" w:rsidRDefault="00F7743F">
      <w:pPr>
        <w:rPr>
          <w:rFonts w:cstheme="minorHAnsi"/>
          <w:color w:val="000000"/>
          <w:shd w:val="clear" w:color="auto" w:fill="FFFFFF"/>
        </w:rPr>
      </w:pPr>
    </w:p>
    <w:p w14:paraId="1FABEEBA" w14:textId="7B0888E4" w:rsidR="00F7743F" w:rsidRPr="00D12ADB" w:rsidRDefault="00F7743F">
      <w:pPr>
        <w:rPr>
          <w:rFonts w:cstheme="minorHAnsi"/>
          <w:color w:val="000000"/>
          <w:shd w:val="clear" w:color="auto" w:fill="FFFFFF"/>
        </w:rPr>
      </w:pPr>
      <w:r w:rsidRPr="00D12ADB">
        <w:rPr>
          <w:rFonts w:cstheme="minorHAnsi"/>
          <w:color w:val="000000"/>
          <w:shd w:val="clear" w:color="auto" w:fill="FFFFFF"/>
        </w:rPr>
        <w:lastRenderedPageBreak/>
        <w:t xml:space="preserve">Tilastokeskus (2013) Sateenkaariperheet tuovat väriä tilastoihin. Linkki noudettu 4.4.2024. </w:t>
      </w:r>
      <w:hyperlink r:id="rId11" w:anchor=":~:text=Arvioiden%20mukaan%205%E2%80%9315%20prosenttia,koosta%20ole%20siten%20tarkkaa%20tietoa" w:history="1">
        <w:r w:rsidR="007C3F27" w:rsidRPr="00D12ADB">
          <w:rPr>
            <w:rStyle w:val="Hyperlink"/>
            <w:rFonts w:cstheme="minorHAnsi"/>
            <w:shd w:val="clear" w:color="auto" w:fill="FFFFFF"/>
          </w:rPr>
          <w:t>https://www.stat.fi/artikkelit/2013/art_2013-09-23_001.html?s=0#:~:text=Arvioiden%20mukaan%205%E2%80%9315%20prosenttia,koosta%20ole%20siten%20tarkkaa%20tietoa</w:t>
        </w:r>
      </w:hyperlink>
      <w:r w:rsidRPr="00D12ADB">
        <w:rPr>
          <w:rFonts w:cstheme="minorHAnsi"/>
          <w:color w:val="000000"/>
          <w:shd w:val="clear" w:color="auto" w:fill="FFFFFF"/>
        </w:rPr>
        <w:t>.</w:t>
      </w:r>
    </w:p>
    <w:p w14:paraId="6E097357" w14:textId="77777777" w:rsidR="007C3F27" w:rsidRPr="00D12ADB" w:rsidRDefault="007C3F27">
      <w:pPr>
        <w:rPr>
          <w:rFonts w:cstheme="minorHAnsi"/>
          <w:color w:val="000000"/>
          <w:shd w:val="clear" w:color="auto" w:fill="FFFFFF"/>
        </w:rPr>
      </w:pPr>
    </w:p>
    <w:p w14:paraId="11787D01" w14:textId="7C074344" w:rsidR="007C3F27" w:rsidRPr="00FF34DB" w:rsidRDefault="007C3F27">
      <w:pPr>
        <w:rPr>
          <w:rFonts w:eastAsia="Times New Roman" w:cstheme="minorHAnsi"/>
          <w:lang w:eastAsia="fi-FI"/>
        </w:rPr>
      </w:pPr>
      <w:r w:rsidRPr="00D12ADB">
        <w:rPr>
          <w:rFonts w:eastAsia="Times New Roman" w:cstheme="minorHAnsi"/>
          <w:color w:val="333333"/>
          <w:lang w:val="en-US" w:eastAsia="fi-FI"/>
        </w:rPr>
        <w:t>Twenge, J. M. (2023</w:t>
      </w:r>
      <w:r w:rsidRPr="009361F5">
        <w:rPr>
          <w:rFonts w:eastAsia="Times New Roman" w:cstheme="minorHAnsi"/>
          <w:color w:val="333333"/>
          <w:lang w:val="en-US" w:eastAsia="fi-FI"/>
        </w:rPr>
        <w:t xml:space="preserve">). Generations: The real differences between gen z, millenials, gen x, boomers, and silents – And what they mean for America’s </w:t>
      </w:r>
      <w:r w:rsidRPr="009361F5">
        <w:rPr>
          <w:rFonts w:eastAsia="Times New Roman" w:cstheme="minorHAnsi"/>
          <w:lang w:val="en-US" w:eastAsia="fi-FI"/>
        </w:rPr>
        <w:t xml:space="preserve">future. </w:t>
      </w:r>
      <w:r w:rsidR="009361F5" w:rsidRPr="009361F5">
        <w:rPr>
          <w:rFonts w:cstheme="minorHAnsi"/>
          <w:shd w:val="clear" w:color="auto" w:fill="FFFFFF"/>
        </w:rPr>
        <w:t>New York: Atria Books</w:t>
      </w:r>
    </w:p>
    <w:sectPr w:rsidR="007C3F27" w:rsidRPr="00FF34DB" w:rsidSect="00DB4C16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DF7E"/>
    <w:multiLevelType w:val="hybridMultilevel"/>
    <w:tmpl w:val="0B3AF598"/>
    <w:lvl w:ilvl="0" w:tplc="7284C8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6080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E0F7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E06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2ABE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52A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87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C22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A656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594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14A"/>
    <w:rsid w:val="000362C7"/>
    <w:rsid w:val="00041D97"/>
    <w:rsid w:val="00046710"/>
    <w:rsid w:val="00047252"/>
    <w:rsid w:val="000627D4"/>
    <w:rsid w:val="000736F8"/>
    <w:rsid w:val="00075299"/>
    <w:rsid w:val="00086FC1"/>
    <w:rsid w:val="0008738C"/>
    <w:rsid w:val="000941A4"/>
    <w:rsid w:val="000B39B8"/>
    <w:rsid w:val="000B3D52"/>
    <w:rsid w:val="000B7A84"/>
    <w:rsid w:val="000C3BC7"/>
    <w:rsid w:val="000C5468"/>
    <w:rsid w:val="000D5FA3"/>
    <w:rsid w:val="000E1599"/>
    <w:rsid w:val="000E5B91"/>
    <w:rsid w:val="000E5C51"/>
    <w:rsid w:val="000F66B8"/>
    <w:rsid w:val="00110DBF"/>
    <w:rsid w:val="00113EF1"/>
    <w:rsid w:val="00120A44"/>
    <w:rsid w:val="00121639"/>
    <w:rsid w:val="00132A65"/>
    <w:rsid w:val="00141D39"/>
    <w:rsid w:val="001424F1"/>
    <w:rsid w:val="00144FFA"/>
    <w:rsid w:val="00150244"/>
    <w:rsid w:val="00151120"/>
    <w:rsid w:val="00156B04"/>
    <w:rsid w:val="0016452E"/>
    <w:rsid w:val="0016754D"/>
    <w:rsid w:val="00180AA3"/>
    <w:rsid w:val="00182F47"/>
    <w:rsid w:val="00197062"/>
    <w:rsid w:val="001A2AA2"/>
    <w:rsid w:val="001A3156"/>
    <w:rsid w:val="001A48DC"/>
    <w:rsid w:val="001B7D1B"/>
    <w:rsid w:val="001C392B"/>
    <w:rsid w:val="001C631D"/>
    <w:rsid w:val="001D38FC"/>
    <w:rsid w:val="001F37EC"/>
    <w:rsid w:val="001F6F6A"/>
    <w:rsid w:val="0020521F"/>
    <w:rsid w:val="00215748"/>
    <w:rsid w:val="002308F4"/>
    <w:rsid w:val="00247012"/>
    <w:rsid w:val="002539C6"/>
    <w:rsid w:val="00273EAF"/>
    <w:rsid w:val="00274F97"/>
    <w:rsid w:val="00276B52"/>
    <w:rsid w:val="00277DD2"/>
    <w:rsid w:val="002801D9"/>
    <w:rsid w:val="00280BA8"/>
    <w:rsid w:val="00293731"/>
    <w:rsid w:val="0029580D"/>
    <w:rsid w:val="00296C96"/>
    <w:rsid w:val="00297471"/>
    <w:rsid w:val="002A1821"/>
    <w:rsid w:val="002A4EE0"/>
    <w:rsid w:val="002B4E7A"/>
    <w:rsid w:val="002B5D6E"/>
    <w:rsid w:val="002B6019"/>
    <w:rsid w:val="002D3303"/>
    <w:rsid w:val="002D6CE6"/>
    <w:rsid w:val="002E32C7"/>
    <w:rsid w:val="00302E51"/>
    <w:rsid w:val="00304FEB"/>
    <w:rsid w:val="00315A07"/>
    <w:rsid w:val="0032075A"/>
    <w:rsid w:val="00335EDD"/>
    <w:rsid w:val="0033754B"/>
    <w:rsid w:val="003516F5"/>
    <w:rsid w:val="00351C34"/>
    <w:rsid w:val="00353158"/>
    <w:rsid w:val="003579FD"/>
    <w:rsid w:val="00383091"/>
    <w:rsid w:val="0039226D"/>
    <w:rsid w:val="003A314A"/>
    <w:rsid w:val="003C36C7"/>
    <w:rsid w:val="003C4620"/>
    <w:rsid w:val="003D1B08"/>
    <w:rsid w:val="003E31D9"/>
    <w:rsid w:val="003F06A5"/>
    <w:rsid w:val="004019BF"/>
    <w:rsid w:val="00401D43"/>
    <w:rsid w:val="00414D89"/>
    <w:rsid w:val="00431213"/>
    <w:rsid w:val="00432280"/>
    <w:rsid w:val="00435445"/>
    <w:rsid w:val="00436BEF"/>
    <w:rsid w:val="004623FA"/>
    <w:rsid w:val="00474EDC"/>
    <w:rsid w:val="004B5A12"/>
    <w:rsid w:val="004C2213"/>
    <w:rsid w:val="004C4337"/>
    <w:rsid w:val="004D6D35"/>
    <w:rsid w:val="004D789A"/>
    <w:rsid w:val="004E1E31"/>
    <w:rsid w:val="004E651B"/>
    <w:rsid w:val="004E7C07"/>
    <w:rsid w:val="004F51F3"/>
    <w:rsid w:val="00507E07"/>
    <w:rsid w:val="00516ABD"/>
    <w:rsid w:val="0052439B"/>
    <w:rsid w:val="00531DC4"/>
    <w:rsid w:val="0053275C"/>
    <w:rsid w:val="00532B54"/>
    <w:rsid w:val="00535A82"/>
    <w:rsid w:val="00542C7A"/>
    <w:rsid w:val="00545000"/>
    <w:rsid w:val="00576D40"/>
    <w:rsid w:val="0058366E"/>
    <w:rsid w:val="005A2C0A"/>
    <w:rsid w:val="005A385E"/>
    <w:rsid w:val="005C343A"/>
    <w:rsid w:val="005C7B75"/>
    <w:rsid w:val="005D19DD"/>
    <w:rsid w:val="005E26C5"/>
    <w:rsid w:val="005F3328"/>
    <w:rsid w:val="005F6853"/>
    <w:rsid w:val="005F74AE"/>
    <w:rsid w:val="00621872"/>
    <w:rsid w:val="00631247"/>
    <w:rsid w:val="00643DA4"/>
    <w:rsid w:val="00643E23"/>
    <w:rsid w:val="00645773"/>
    <w:rsid w:val="00650C3F"/>
    <w:rsid w:val="00652BEF"/>
    <w:rsid w:val="006644FC"/>
    <w:rsid w:val="006672CD"/>
    <w:rsid w:val="00675350"/>
    <w:rsid w:val="00693A7E"/>
    <w:rsid w:val="006A316D"/>
    <w:rsid w:val="006B062F"/>
    <w:rsid w:val="006B17B0"/>
    <w:rsid w:val="006C24FB"/>
    <w:rsid w:val="006C31F4"/>
    <w:rsid w:val="006C588F"/>
    <w:rsid w:val="006C5B44"/>
    <w:rsid w:val="006C673C"/>
    <w:rsid w:val="006E029E"/>
    <w:rsid w:val="00701CC9"/>
    <w:rsid w:val="00704128"/>
    <w:rsid w:val="00713775"/>
    <w:rsid w:val="007527B5"/>
    <w:rsid w:val="00767740"/>
    <w:rsid w:val="0078225C"/>
    <w:rsid w:val="00794F3B"/>
    <w:rsid w:val="00795D11"/>
    <w:rsid w:val="007A3438"/>
    <w:rsid w:val="007A3E05"/>
    <w:rsid w:val="007B1238"/>
    <w:rsid w:val="007B5F62"/>
    <w:rsid w:val="007C1FE3"/>
    <w:rsid w:val="007C29FD"/>
    <w:rsid w:val="007C3F27"/>
    <w:rsid w:val="007C6788"/>
    <w:rsid w:val="007D69A5"/>
    <w:rsid w:val="007E3782"/>
    <w:rsid w:val="007F703C"/>
    <w:rsid w:val="0080783A"/>
    <w:rsid w:val="0081336D"/>
    <w:rsid w:val="008153E0"/>
    <w:rsid w:val="0082782C"/>
    <w:rsid w:val="0086537E"/>
    <w:rsid w:val="00871745"/>
    <w:rsid w:val="008746EE"/>
    <w:rsid w:val="00874790"/>
    <w:rsid w:val="00895BED"/>
    <w:rsid w:val="008A0898"/>
    <w:rsid w:val="008A6160"/>
    <w:rsid w:val="008B6314"/>
    <w:rsid w:val="008C0E7B"/>
    <w:rsid w:val="008D2516"/>
    <w:rsid w:val="008D65A6"/>
    <w:rsid w:val="008E0DD1"/>
    <w:rsid w:val="008E36AF"/>
    <w:rsid w:val="008E3B6E"/>
    <w:rsid w:val="008F3A0E"/>
    <w:rsid w:val="00915D1F"/>
    <w:rsid w:val="0091668C"/>
    <w:rsid w:val="009219BB"/>
    <w:rsid w:val="009361F5"/>
    <w:rsid w:val="00946FEE"/>
    <w:rsid w:val="00963594"/>
    <w:rsid w:val="00964F0C"/>
    <w:rsid w:val="00972A98"/>
    <w:rsid w:val="00974672"/>
    <w:rsid w:val="00982107"/>
    <w:rsid w:val="00987978"/>
    <w:rsid w:val="00997B9F"/>
    <w:rsid w:val="009A095E"/>
    <w:rsid w:val="009C50EB"/>
    <w:rsid w:val="009C6531"/>
    <w:rsid w:val="00A00A09"/>
    <w:rsid w:val="00A10B01"/>
    <w:rsid w:val="00A134F7"/>
    <w:rsid w:val="00A15935"/>
    <w:rsid w:val="00A40547"/>
    <w:rsid w:val="00A43A9F"/>
    <w:rsid w:val="00A43AD1"/>
    <w:rsid w:val="00A4573C"/>
    <w:rsid w:val="00A47F3A"/>
    <w:rsid w:val="00A51310"/>
    <w:rsid w:val="00A67899"/>
    <w:rsid w:val="00A70BF4"/>
    <w:rsid w:val="00A73247"/>
    <w:rsid w:val="00A76C48"/>
    <w:rsid w:val="00A77862"/>
    <w:rsid w:val="00A83538"/>
    <w:rsid w:val="00A86B73"/>
    <w:rsid w:val="00A9600F"/>
    <w:rsid w:val="00AA264B"/>
    <w:rsid w:val="00AB5817"/>
    <w:rsid w:val="00AB5AAE"/>
    <w:rsid w:val="00AB748D"/>
    <w:rsid w:val="00AC1F76"/>
    <w:rsid w:val="00AC7964"/>
    <w:rsid w:val="00AD107F"/>
    <w:rsid w:val="00AE37D7"/>
    <w:rsid w:val="00AE7431"/>
    <w:rsid w:val="00AF0FC9"/>
    <w:rsid w:val="00AF3870"/>
    <w:rsid w:val="00AF6D4A"/>
    <w:rsid w:val="00B00BCE"/>
    <w:rsid w:val="00B01A3F"/>
    <w:rsid w:val="00B11120"/>
    <w:rsid w:val="00B11D40"/>
    <w:rsid w:val="00B149B5"/>
    <w:rsid w:val="00B177FB"/>
    <w:rsid w:val="00B43A80"/>
    <w:rsid w:val="00B639EB"/>
    <w:rsid w:val="00B6735F"/>
    <w:rsid w:val="00B93666"/>
    <w:rsid w:val="00BA0529"/>
    <w:rsid w:val="00BA658F"/>
    <w:rsid w:val="00BB7845"/>
    <w:rsid w:val="00BC1C78"/>
    <w:rsid w:val="00BC3440"/>
    <w:rsid w:val="00BC555A"/>
    <w:rsid w:val="00BC5E72"/>
    <w:rsid w:val="00BE65BE"/>
    <w:rsid w:val="00BF51E8"/>
    <w:rsid w:val="00C10BCF"/>
    <w:rsid w:val="00C24371"/>
    <w:rsid w:val="00C264B0"/>
    <w:rsid w:val="00C407D0"/>
    <w:rsid w:val="00C45237"/>
    <w:rsid w:val="00C5586C"/>
    <w:rsid w:val="00C65859"/>
    <w:rsid w:val="00C7039C"/>
    <w:rsid w:val="00C825E1"/>
    <w:rsid w:val="00CC4C73"/>
    <w:rsid w:val="00CC4DE3"/>
    <w:rsid w:val="00CC558C"/>
    <w:rsid w:val="00CC5F1D"/>
    <w:rsid w:val="00CD0C63"/>
    <w:rsid w:val="00CD2C31"/>
    <w:rsid w:val="00D00B3A"/>
    <w:rsid w:val="00D06EB3"/>
    <w:rsid w:val="00D10177"/>
    <w:rsid w:val="00D12ADB"/>
    <w:rsid w:val="00D14C73"/>
    <w:rsid w:val="00D2393C"/>
    <w:rsid w:val="00D30997"/>
    <w:rsid w:val="00D34E21"/>
    <w:rsid w:val="00D41896"/>
    <w:rsid w:val="00D43E64"/>
    <w:rsid w:val="00D60816"/>
    <w:rsid w:val="00D7119F"/>
    <w:rsid w:val="00D77F0A"/>
    <w:rsid w:val="00D86060"/>
    <w:rsid w:val="00D96082"/>
    <w:rsid w:val="00D97BAA"/>
    <w:rsid w:val="00DB4C16"/>
    <w:rsid w:val="00DD151A"/>
    <w:rsid w:val="00DD5C7F"/>
    <w:rsid w:val="00DE26F1"/>
    <w:rsid w:val="00DE2B24"/>
    <w:rsid w:val="00DF2B7F"/>
    <w:rsid w:val="00DF3041"/>
    <w:rsid w:val="00DF3091"/>
    <w:rsid w:val="00E023B8"/>
    <w:rsid w:val="00E15959"/>
    <w:rsid w:val="00E3134B"/>
    <w:rsid w:val="00E34124"/>
    <w:rsid w:val="00E3716B"/>
    <w:rsid w:val="00E45AFC"/>
    <w:rsid w:val="00E634C0"/>
    <w:rsid w:val="00E6534A"/>
    <w:rsid w:val="00E675FF"/>
    <w:rsid w:val="00E76960"/>
    <w:rsid w:val="00E836E7"/>
    <w:rsid w:val="00E92C62"/>
    <w:rsid w:val="00E9797D"/>
    <w:rsid w:val="00EA16CE"/>
    <w:rsid w:val="00EA6BF2"/>
    <w:rsid w:val="00EB2609"/>
    <w:rsid w:val="00EB7DBB"/>
    <w:rsid w:val="00ED013D"/>
    <w:rsid w:val="00ED1493"/>
    <w:rsid w:val="00ED5517"/>
    <w:rsid w:val="00EE6D64"/>
    <w:rsid w:val="00EF3936"/>
    <w:rsid w:val="00EF7760"/>
    <w:rsid w:val="00F07A14"/>
    <w:rsid w:val="00F144B0"/>
    <w:rsid w:val="00F26A1B"/>
    <w:rsid w:val="00F3146B"/>
    <w:rsid w:val="00F32161"/>
    <w:rsid w:val="00F33E91"/>
    <w:rsid w:val="00F464F0"/>
    <w:rsid w:val="00F534E5"/>
    <w:rsid w:val="00F73053"/>
    <w:rsid w:val="00F7743F"/>
    <w:rsid w:val="00F81998"/>
    <w:rsid w:val="00F85A18"/>
    <w:rsid w:val="00F972E5"/>
    <w:rsid w:val="00FA307B"/>
    <w:rsid w:val="00FA6576"/>
    <w:rsid w:val="00FA6BEB"/>
    <w:rsid w:val="00FA7DC8"/>
    <w:rsid w:val="00FB4DF2"/>
    <w:rsid w:val="00FE32EE"/>
    <w:rsid w:val="00FF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70C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1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7119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672CD"/>
  </w:style>
  <w:style w:type="character" w:styleId="CommentReference">
    <w:name w:val="annotation reference"/>
    <w:basedOn w:val="DefaultParagraphFont"/>
    <w:uiPriority w:val="99"/>
    <w:semiHidden/>
    <w:unhideWhenUsed/>
    <w:rsid w:val="00AE37D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E37D7"/>
  </w:style>
  <w:style w:type="character" w:customStyle="1" w:styleId="CommentTextChar">
    <w:name w:val="Comment Text Char"/>
    <w:basedOn w:val="DefaultParagraphFont"/>
    <w:link w:val="CommentText"/>
    <w:uiPriority w:val="99"/>
    <w:rsid w:val="00AE37D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7D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7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7D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7D7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2E32C7"/>
  </w:style>
  <w:style w:type="paragraph" w:styleId="ListParagraph">
    <w:name w:val="List Paragraph"/>
    <w:basedOn w:val="Normal"/>
    <w:uiPriority w:val="34"/>
    <w:qFormat/>
    <w:rsid w:val="000B7A84"/>
    <w:pPr>
      <w:spacing w:after="160" w:line="259" w:lineRule="auto"/>
      <w:ind w:left="720"/>
      <w:contextualSpacing/>
    </w:pPr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D1017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D10177"/>
    <w:rPr>
      <w:color w:val="605E5C"/>
      <w:shd w:val="clear" w:color="auto" w:fill="E1DFDD"/>
    </w:rPr>
  </w:style>
  <w:style w:type="character" w:customStyle="1" w:styleId="sr-only">
    <w:name w:val="sr-only"/>
    <w:basedOn w:val="DefaultParagraphFont"/>
    <w:rsid w:val="00AB748D"/>
  </w:style>
  <w:style w:type="character" w:customStyle="1" w:styleId="citationsource-book">
    <w:name w:val="citation_source-book"/>
    <w:basedOn w:val="DefaultParagraphFont"/>
    <w:rsid w:val="007C3F27"/>
  </w:style>
  <w:style w:type="character" w:customStyle="1" w:styleId="Heading2Char">
    <w:name w:val="Heading 2 Char"/>
    <w:basedOn w:val="DefaultParagraphFont"/>
    <w:link w:val="Heading2"/>
    <w:uiPriority w:val="9"/>
    <w:rsid w:val="00D7119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UnresolvedMention2">
    <w:name w:val="Unresolved Mention2"/>
    <w:basedOn w:val="DefaultParagraphFont"/>
    <w:uiPriority w:val="99"/>
    <w:rsid w:val="00D7119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71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FF34DB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0E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9C50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hyperlink" Target="https://www.stat.fi/artikkelit/2013/art_2013-09-23_001.html?s=0" TargetMode="External"/><Relationship Id="rId5" Type="http://schemas.openxmlformats.org/officeDocument/2006/relationships/chart" Target="charts/chart1.xml"/><Relationship Id="rId10" Type="http://schemas.openxmlformats.org/officeDocument/2006/relationships/hyperlink" Target="https://julkaisut.valtioneuvosto.fi/bitstream/handle/10024/163828/OKM_2022_5.pdf?sequence=4&amp;isAllowed=y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Aku\Downloads\Kuka%20J-2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Aku\Documents\Taulukot_nettisivu%20(Tallennettu%20automaattisesti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Aku\Downloads\Taulukot_nettisivu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Aku\Downloads\Taulukot_nettisivu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Aku\Downloads\Kuka%20J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dLbl>
              <c:idx val="5"/>
              <c:layout>
                <c:manualLayout>
                  <c:x val="-2.2291573785109199E-3"/>
                  <c:y val="8.3171843102945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43B-44EB-8900-AFA8C336CB2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fi-FI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'In what role(s) are you cur (4)'!$N$9:$N$14</c:f>
              <c:strCache>
                <c:ptCount val="6"/>
                <c:pt idx="0">
                  <c:v>Urheilija</c:v>
                </c:pt>
                <c:pt idx="1">
                  <c:v>Valmentaja</c:v>
                </c:pt>
                <c:pt idx="2">
                  <c:v>Hallinto</c:v>
                </c:pt>
                <c:pt idx="3">
                  <c:v>Johto</c:v>
                </c:pt>
                <c:pt idx="4">
                  <c:v>Muu rooli</c:v>
                </c:pt>
                <c:pt idx="5">
                  <c:v>Asiantuntijat</c:v>
                </c:pt>
              </c:strCache>
            </c:strRef>
          </c:cat>
          <c:val>
            <c:numRef>
              <c:f>'In what role(s) are you cur (4)'!$O$9:$O$14</c:f>
              <c:numCache>
                <c:formatCode>0%</c:formatCode>
                <c:ptCount val="6"/>
                <c:pt idx="0">
                  <c:v>0.72</c:v>
                </c:pt>
                <c:pt idx="1">
                  <c:v>0.34</c:v>
                </c:pt>
                <c:pt idx="2">
                  <c:v>0.15</c:v>
                </c:pt>
                <c:pt idx="3">
                  <c:v>0.14000000000000001</c:v>
                </c:pt>
                <c:pt idx="4">
                  <c:v>0.1</c:v>
                </c:pt>
                <c:pt idx="5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43B-44EB-8900-AFA8C336CB2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-378808944"/>
        <c:axId val="-372673344"/>
      </c:barChart>
      <c:catAx>
        <c:axId val="-378808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fi-FI"/>
          </a:p>
        </c:txPr>
        <c:crossAx val="-372673344"/>
        <c:crosses val="autoZero"/>
        <c:auto val="1"/>
        <c:lblAlgn val="ctr"/>
        <c:lblOffset val="100"/>
        <c:noMultiLvlLbl val="0"/>
      </c:catAx>
      <c:valAx>
        <c:axId val="-372673344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-378808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i-FI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8.3333333333333297E-3"/>
                  <c:y val="3.6807378244386002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i-FI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632-421A-988A-8B45B2F9E7B3}"/>
                </c:ext>
              </c:extLst>
            </c:dLbl>
            <c:dLbl>
              <c:idx val="1"/>
              <c:layout>
                <c:manualLayout>
                  <c:x val="0"/>
                  <c:y val="1.29399970836978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i-FI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632-421A-988A-8B45B2F9E7B3}"/>
                </c:ext>
              </c:extLst>
            </c:dLbl>
            <c:dLbl>
              <c:idx val="2"/>
              <c:layout>
                <c:manualLayout>
                  <c:x val="-5.5555555555555497E-3"/>
                  <c:y val="8.3103674540681606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i-FI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632-421A-988A-8B45B2F9E7B3}"/>
                </c:ext>
              </c:extLst>
            </c:dLbl>
            <c:dLbl>
              <c:idx val="3"/>
              <c:layout>
                <c:manualLayout>
                  <c:x val="-2.7777777777777801E-3"/>
                  <c:y val="4.360236220472439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i-FI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632-421A-988A-8B45B2F9E7B3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i-FI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C72F-D74D-9D70-86C0ED5F1F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fi-FI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'Please choose one or more  (62)'!$T$15:$T$19</c:f>
              <c:strCache>
                <c:ptCount val="5"/>
                <c:pt idx="0">
                  <c:v>15-29</c:v>
                </c:pt>
                <c:pt idx="1">
                  <c:v>30-44</c:v>
                </c:pt>
                <c:pt idx="2">
                  <c:v>45-59</c:v>
                </c:pt>
                <c:pt idx="3">
                  <c:v>60-78</c:v>
                </c:pt>
                <c:pt idx="4">
                  <c:v>Yli 79</c:v>
                </c:pt>
              </c:strCache>
            </c:strRef>
          </c:cat>
          <c:val>
            <c:numRef>
              <c:f>'Please choose one or more  (62)'!$U$15:$U$19</c:f>
              <c:numCache>
                <c:formatCode>0%</c:formatCode>
                <c:ptCount val="5"/>
                <c:pt idx="0">
                  <c:v>0.51</c:v>
                </c:pt>
                <c:pt idx="1">
                  <c:v>0.27</c:v>
                </c:pt>
                <c:pt idx="2">
                  <c:v>0.16</c:v>
                </c:pt>
                <c:pt idx="3">
                  <c:v>0.05</c:v>
                </c:pt>
                <c:pt idx="4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632-421A-988A-8B45B2F9E7B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-383647424"/>
        <c:axId val="-383462368"/>
      </c:barChart>
      <c:catAx>
        <c:axId val="-383647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fi-FI"/>
          </a:p>
        </c:txPr>
        <c:crossAx val="-383462368"/>
        <c:crosses val="autoZero"/>
        <c:auto val="1"/>
        <c:lblAlgn val="ctr"/>
        <c:lblOffset val="100"/>
        <c:noMultiLvlLbl val="0"/>
      </c:catAx>
      <c:valAx>
        <c:axId val="-383462368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-383647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i-FI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'Does your local sports org (34)'!$N$10</c:f>
              <c:strCache>
                <c:ptCount val="1"/>
                <c:pt idx="0">
                  <c:v>Seura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i-FI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'Does your local sports org (34)'!$O$9:$Q$9</c:f>
              <c:strCache>
                <c:ptCount val="3"/>
                <c:pt idx="0">
                  <c:v>Kyllä</c:v>
                </c:pt>
                <c:pt idx="1">
                  <c:v>Ei</c:v>
                </c:pt>
                <c:pt idx="2">
                  <c:v>En tiedä</c:v>
                </c:pt>
              </c:strCache>
            </c:strRef>
          </c:cat>
          <c:val>
            <c:numRef>
              <c:f>'Does your local sports org (34)'!$O$10:$Q$10</c:f>
              <c:numCache>
                <c:formatCode>0%</c:formatCode>
                <c:ptCount val="3"/>
                <c:pt idx="0">
                  <c:v>0.16</c:v>
                </c:pt>
                <c:pt idx="1">
                  <c:v>0.22</c:v>
                </c:pt>
                <c:pt idx="2">
                  <c:v>0.62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46-4F4F-8BCB-10C705D9A28B}"/>
            </c:ext>
          </c:extLst>
        </c:ser>
        <c:ser>
          <c:idx val="1"/>
          <c:order val="1"/>
          <c:tx>
            <c:strRef>
              <c:f>'Does your local sports org (34)'!$N$11</c:f>
              <c:strCache>
                <c:ptCount val="1"/>
                <c:pt idx="0">
                  <c:v>Kansallinen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i-FI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'Does your local sports org (34)'!$O$9:$Q$9</c:f>
              <c:strCache>
                <c:ptCount val="3"/>
                <c:pt idx="0">
                  <c:v>Kyllä</c:v>
                </c:pt>
                <c:pt idx="1">
                  <c:v>Ei</c:v>
                </c:pt>
                <c:pt idx="2">
                  <c:v>En tiedä</c:v>
                </c:pt>
              </c:strCache>
            </c:strRef>
          </c:cat>
          <c:val>
            <c:numRef>
              <c:f>'Does your local sports org (34)'!$O$11:$Q$11</c:f>
              <c:numCache>
                <c:formatCode>0%</c:formatCode>
                <c:ptCount val="3"/>
                <c:pt idx="0">
                  <c:v>0.19</c:v>
                </c:pt>
                <c:pt idx="1">
                  <c:v>0.1</c:v>
                </c:pt>
                <c:pt idx="2">
                  <c:v>0.71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E46-4F4F-8BCB-10C705D9A28B}"/>
            </c:ext>
          </c:extLst>
        </c:ser>
        <c:ser>
          <c:idx val="2"/>
          <c:order val="2"/>
          <c:tx>
            <c:strRef>
              <c:f>'Does your local sports org (34)'!$N$12</c:f>
              <c:strCache>
                <c:ptCount val="1"/>
                <c:pt idx="0">
                  <c:v>Kansainvälinen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i-FI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'Does your local sports org (34)'!$O$9:$Q$9</c:f>
              <c:strCache>
                <c:ptCount val="3"/>
                <c:pt idx="0">
                  <c:v>Kyllä</c:v>
                </c:pt>
                <c:pt idx="1">
                  <c:v>Ei</c:v>
                </c:pt>
                <c:pt idx="2">
                  <c:v>En tiedä</c:v>
                </c:pt>
              </c:strCache>
            </c:strRef>
          </c:cat>
          <c:val>
            <c:numRef>
              <c:f>'Does your local sports org (34)'!$O$12:$Q$12</c:f>
              <c:numCache>
                <c:formatCode>0%</c:formatCode>
                <c:ptCount val="3"/>
                <c:pt idx="0">
                  <c:v>0.24</c:v>
                </c:pt>
                <c:pt idx="1">
                  <c:v>0.16</c:v>
                </c:pt>
                <c:pt idx="2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E46-4F4F-8BCB-10C705D9A28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302635648"/>
        <c:axId val="-302805200"/>
      </c:barChart>
      <c:catAx>
        <c:axId val="-302635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i-FI"/>
          </a:p>
        </c:txPr>
        <c:crossAx val="-302805200"/>
        <c:crossesAt val="0"/>
        <c:auto val="1"/>
        <c:lblAlgn val="ctr"/>
        <c:lblOffset val="100"/>
        <c:noMultiLvlLbl val="0"/>
      </c:catAx>
      <c:valAx>
        <c:axId val="-302805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i-FI"/>
          </a:p>
        </c:txPr>
        <c:crossAx val="-302635648"/>
        <c:crosses val="autoZero"/>
        <c:crossBetween val="between"/>
        <c:minorUnit val="0.1"/>
      </c:valAx>
      <c:spPr>
        <a:noFill/>
        <a:ln>
          <a:noFill/>
        </a:ln>
        <a:effectLst/>
      </c:spPr>
    </c:plotArea>
    <c:legend>
      <c:legendPos val="l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i-FI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i-FI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1AFD-EA4B-8988-3C6959CAB6EE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1AFD-EA4B-8988-3C6959CAB6EE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1AFD-EA4B-8988-3C6959CAB6EE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1AFD-EA4B-8988-3C6959CAB6EE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1AFD-EA4B-8988-3C6959CAB6EE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1AFD-EA4B-8988-3C6959CAB6EE}"/>
              </c:ext>
            </c:extLst>
          </c:dPt>
          <c:dLbls>
            <c:dLbl>
              <c:idx val="0"/>
              <c:layout>
                <c:manualLayout>
                  <c:x val="1.4856633500688199E-7"/>
                  <c:y val="2.7134665859075299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tx1"/>
                        </a:solidFill>
                      </a:rPr>
                      <a:t>9%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1AFD-EA4B-8988-3C6959CAB6EE}"/>
                </c:ext>
              </c:extLst>
            </c:dLbl>
            <c:dLbl>
              <c:idx val="1"/>
              <c:layout>
                <c:manualLayout>
                  <c:x val="1.88679245283019E-3"/>
                  <c:y val="7.9103573591762495E-4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tx1"/>
                        </a:solidFill>
                      </a:rPr>
                      <a:t>3%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1AFD-EA4B-8988-3C6959CAB6EE}"/>
                </c:ext>
              </c:extLst>
            </c:dLbl>
            <c:dLbl>
              <c:idx val="2"/>
              <c:layout>
                <c:manualLayout>
                  <c:x val="3.77358490566038E-3"/>
                  <c:y val="1.32440944881889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tx1"/>
                        </a:solidFill>
                      </a:rPr>
                      <a:t>18%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1AFD-EA4B-8988-3C6959CAB6EE}"/>
                </c:ext>
              </c:extLst>
            </c:dLbl>
            <c:dLbl>
              <c:idx val="3"/>
              <c:layout>
                <c:manualLayout>
                  <c:x val="-1.88664388649532E-3"/>
                  <c:y val="2.4689683020391599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tx1"/>
                        </a:solidFill>
                      </a:rPr>
                      <a:t>8%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1AFD-EA4B-8988-3C6959CAB6EE}"/>
                </c:ext>
              </c:extLst>
            </c:dLbl>
            <c:dLbl>
              <c:idx val="4"/>
              <c:layout>
                <c:manualLayout>
                  <c:x val="1.48566334868519E-7"/>
                  <c:y val="2.5403189985867099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tx1"/>
                        </a:solidFill>
                      </a:rPr>
                      <a:t>2%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1AFD-EA4B-8988-3C6959CAB6EE}"/>
                </c:ext>
              </c:extLst>
            </c:dLbl>
            <c:dLbl>
              <c:idx val="5"/>
              <c:layout>
                <c:manualLayout>
                  <c:x val="1.48566334868519E-7"/>
                  <c:y val="4.6525338178881499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15%</a:t>
                    </a:r>
                  </a:p>
                </c:rich>
              </c:tx>
              <c:numFmt formatCode="#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i-FI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1AFD-EA4B-8988-3C6959CAB6E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fi-FI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'Please choose one or more  (62)'!$N$1:$N$6</c:f>
              <c:strCache>
                <c:ptCount val="6"/>
                <c:pt idx="0">
                  <c:v>Epäsopivaa urheilijaäideille</c:v>
                </c:pt>
                <c:pt idx="1">
                  <c:v>Epäsopivaa urheilijaisille</c:v>
                </c:pt>
                <c:pt idx="2">
                  <c:v>Epäsopivaa raskaana oleville urheilijoille</c:v>
                </c:pt>
                <c:pt idx="3">
                  <c:v>Epäsopivaa naisjohtajille raskausaikana ja heti synnytyksen jälkeen ja pienten lasten kanssa</c:v>
                </c:pt>
                <c:pt idx="4">
                  <c:v>Epäsopivaa miesjohtajille pienten lasten kanssa</c:v>
                </c:pt>
                <c:pt idx="5">
                  <c:v>Joki muu, mikä</c:v>
                </c:pt>
              </c:strCache>
            </c:strRef>
          </c:cat>
          <c:val>
            <c:numRef>
              <c:f>'Please choose one or more  (62)'!$P$1:$P$6</c:f>
              <c:numCache>
                <c:formatCode>#%</c:formatCode>
                <c:ptCount val="6"/>
                <c:pt idx="0">
                  <c:v>0.09</c:v>
                </c:pt>
                <c:pt idx="1">
                  <c:v>0.03</c:v>
                </c:pt>
                <c:pt idx="2">
                  <c:v>0.18</c:v>
                </c:pt>
                <c:pt idx="3">
                  <c:v>0.08</c:v>
                </c:pt>
                <c:pt idx="4">
                  <c:v>0.02</c:v>
                </c:pt>
                <c:pt idx="5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AFD-EA4B-8988-3C6959CAB6E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-316749680"/>
        <c:axId val="-316747360"/>
      </c:barChart>
      <c:catAx>
        <c:axId val="-316749680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effectLst/>
                <a:latin typeface="+mn-lt"/>
                <a:ea typeface="+mn-ea"/>
                <a:cs typeface="+mn-cs"/>
              </a:defRPr>
            </a:pPr>
            <a:endParaRPr lang="fi-FI"/>
          </a:p>
        </c:txPr>
        <c:crossAx val="-316747360"/>
        <c:crosses val="autoZero"/>
        <c:auto val="0"/>
        <c:lblAlgn val="ctr"/>
        <c:lblOffset val="100"/>
        <c:noMultiLvlLbl val="0"/>
      </c:catAx>
      <c:valAx>
        <c:axId val="-316747360"/>
        <c:scaling>
          <c:orientation val="minMax"/>
        </c:scaling>
        <c:delete val="1"/>
        <c:axPos val="r"/>
        <c:numFmt formatCode="0%" sourceLinked="0"/>
        <c:majorTickMark val="none"/>
        <c:minorTickMark val="none"/>
        <c:tickLblPos val="high"/>
        <c:crossAx val="-316749680"/>
        <c:crosses val="autoZero"/>
        <c:crossBetween val="between"/>
      </c:valAx>
      <c:spPr>
        <a:noFill/>
        <a:ln>
          <a:noFill/>
        </a:ln>
        <a:effectLst/>
      </c:spPr>
    </c:plotArea>
    <c:plotVisOnly val="0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i-FI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Vähemmistö</c:v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E402-4B9C-93C2-2A0B405BB352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E402-4B9C-93C2-2A0B405BB352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E402-4B9C-93C2-2A0B405BB352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17%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E402-4B9C-93C2-2A0B405BB35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73%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E402-4B9C-93C2-2A0B405BB35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10%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E402-4B9C-93C2-2A0B405BB3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fi-FI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'[1]Have you seen someone in y (69)'!$N$1:$N$3</c:f>
              <c:strCache>
                <c:ptCount val="3"/>
                <c:pt idx="0">
                  <c:v>Kyllä</c:v>
                </c:pt>
                <c:pt idx="1">
                  <c:v>Ei</c:v>
                </c:pt>
                <c:pt idx="2">
                  <c:v>Epävarma</c:v>
                </c:pt>
              </c:strCache>
            </c:strRef>
          </c:cat>
          <c:val>
            <c:numRef>
              <c:f>'[1]Have you seen someone in y (69)'!$P$1:$P$3</c:f>
              <c:numCache>
                <c:formatCode>#%</c:formatCode>
                <c:ptCount val="3"/>
                <c:pt idx="0">
                  <c:v>0.17</c:v>
                </c:pt>
                <c:pt idx="1">
                  <c:v>0.73</c:v>
                </c:pt>
                <c:pt idx="2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402-4B9C-93C2-2A0B405BB352}"/>
            </c:ext>
          </c:extLst>
        </c:ser>
        <c:ser>
          <c:idx val="1"/>
          <c:order val="1"/>
          <c:tx>
            <c:v>Vanhemmuus</c:v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fi-FI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'[1]Have you seen someone in y (69)'!$N$1:$N$3</c:f>
              <c:strCache>
                <c:ptCount val="3"/>
                <c:pt idx="0">
                  <c:v>Kyllä</c:v>
                </c:pt>
                <c:pt idx="1">
                  <c:v>Ei</c:v>
                </c:pt>
                <c:pt idx="2">
                  <c:v>Epävarma</c:v>
                </c:pt>
              </c:strCache>
            </c:strRef>
          </c:cat>
          <c:val>
            <c:numRef>
              <c:f>'[1]Have you seen someone in y (69)'!$Q$1:$Q$3</c:f>
              <c:numCache>
                <c:formatCode>#%</c:formatCode>
                <c:ptCount val="3"/>
                <c:pt idx="0">
                  <c:v>0.05</c:v>
                </c:pt>
                <c:pt idx="1">
                  <c:v>0.87</c:v>
                </c:pt>
                <c:pt idx="2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402-4B9C-93C2-2A0B405BB352}"/>
            </c:ext>
          </c:extLst>
        </c:ser>
        <c:ser>
          <c:idx val="2"/>
          <c:order val="2"/>
          <c:tx>
            <c:v>Oma identiteetti</c:v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fi-FI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'[1]Have you seen someone in y (69)'!$N$1:$N$3</c:f>
              <c:strCache>
                <c:ptCount val="3"/>
                <c:pt idx="0">
                  <c:v>Kyllä</c:v>
                </c:pt>
                <c:pt idx="1">
                  <c:v>Ei</c:v>
                </c:pt>
                <c:pt idx="2">
                  <c:v>Epävarma</c:v>
                </c:pt>
              </c:strCache>
            </c:strRef>
          </c:cat>
          <c:val>
            <c:numRef>
              <c:f>'[1]Have you seen someone in y (69)'!$R$1:$R$3</c:f>
              <c:numCache>
                <c:formatCode>#%</c:formatCode>
                <c:ptCount val="3"/>
                <c:pt idx="0">
                  <c:v>0.17</c:v>
                </c:pt>
                <c:pt idx="1">
                  <c:v>0.76</c:v>
                </c:pt>
                <c:pt idx="2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402-4B9C-93C2-2A0B405BB35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-316732400"/>
        <c:axId val="-316813920"/>
      </c:barChart>
      <c:catAx>
        <c:axId val="-316732400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i-FI"/>
          </a:p>
        </c:txPr>
        <c:crossAx val="-316813920"/>
        <c:crosses val="autoZero"/>
        <c:auto val="0"/>
        <c:lblAlgn val="ctr"/>
        <c:lblOffset val="100"/>
        <c:noMultiLvlLbl val="0"/>
      </c:catAx>
      <c:valAx>
        <c:axId val="-316813920"/>
        <c:scaling>
          <c:orientation val="minMax"/>
        </c:scaling>
        <c:delete val="0"/>
        <c:axPos val="r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i-FI"/>
          </a:p>
        </c:txPr>
        <c:crossAx val="-316732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i-FI"/>
        </a:p>
      </c:txPr>
    </c:legend>
    <c:plotVisOnly val="0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i-FI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2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1451</Words>
  <Characters>11758</Characters>
  <Application>Microsoft Office Word</Application>
  <DocSecurity>0</DocSecurity>
  <Lines>97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 nikander</dc:creator>
  <cp:keywords/>
  <dc:description/>
  <cp:lastModifiedBy>Ryba, Tatiana</cp:lastModifiedBy>
  <cp:revision>6</cp:revision>
  <dcterms:created xsi:type="dcterms:W3CDTF">2024-05-07T10:40:00Z</dcterms:created>
  <dcterms:modified xsi:type="dcterms:W3CDTF">2024-05-09T09:22:00Z</dcterms:modified>
</cp:coreProperties>
</file>