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FEF0" w14:textId="77777777" w:rsidR="00476D70" w:rsidRPr="00476D70" w:rsidRDefault="00476D70" w:rsidP="00476D70">
      <w:pPr>
        <w:jc w:val="center"/>
        <w:rPr>
          <w:noProof/>
          <w:sz w:val="28"/>
          <w:szCs w:val="28"/>
          <w:lang w:val="de-DE"/>
        </w:rPr>
      </w:pPr>
      <w:bookmarkStart w:id="0" w:name="_Hlk128129136"/>
      <w:r w:rsidRPr="00E11D98">
        <w:rPr>
          <w:sz w:val="32"/>
          <w:szCs w:val="32"/>
          <w:lang w:val="de"/>
        </w:rPr>
        <w:t xml:space="preserve">Dieses </w:t>
      </w:r>
      <w:r>
        <w:rPr>
          <w:sz w:val="32"/>
          <w:szCs w:val="32"/>
          <w:lang w:val="de"/>
        </w:rPr>
        <w:t>Dokument</w:t>
      </w:r>
      <w:r w:rsidRPr="00E11D98">
        <w:rPr>
          <w:sz w:val="32"/>
          <w:szCs w:val="32"/>
          <w:lang w:val="de"/>
        </w:rPr>
        <w:t xml:space="preserve"> wurde im Rahmen des Erasmus+ -Projekts "</w:t>
      </w:r>
      <w:r w:rsidRPr="00C43083">
        <w:rPr>
          <w:sz w:val="32"/>
          <w:szCs w:val="32"/>
        </w:rPr>
        <w:t>Developing Digital Physics Laboratory Work for Distance Learning</w:t>
      </w:r>
      <w:r w:rsidRPr="00E11D98">
        <w:rPr>
          <w:sz w:val="32"/>
          <w:szCs w:val="32"/>
          <w:lang w:val="de"/>
        </w:rPr>
        <w:t>" (DigiPhysLab)</w:t>
      </w:r>
      <w:r>
        <w:rPr>
          <w:lang w:val="de"/>
        </w:rPr>
        <w:t xml:space="preserve"> </w:t>
      </w:r>
      <w:r>
        <w:rPr>
          <w:sz w:val="32"/>
          <w:szCs w:val="32"/>
          <w:lang w:val="de"/>
        </w:rPr>
        <w:t xml:space="preserve">erstellt. Mehr Infos: </w:t>
      </w:r>
      <w:hyperlink r:id="rId10" w:history="1">
        <w:r w:rsidRPr="00185E1F">
          <w:rPr>
            <w:rStyle w:val="Hyperlinkki"/>
            <w:sz w:val="32"/>
            <w:szCs w:val="32"/>
            <w:lang w:val="de"/>
          </w:rPr>
          <w:t>www.jyu.fi/digiphyslab</w:t>
        </w:r>
      </w:hyperlink>
    </w:p>
    <w:p w14:paraId="57B4F874" w14:textId="77777777" w:rsidR="00476D70" w:rsidRPr="00476D70" w:rsidRDefault="00476D70" w:rsidP="00476D70">
      <w:pPr>
        <w:jc w:val="center"/>
        <w:rPr>
          <w:noProof/>
          <w:lang w:val="de-DE"/>
        </w:rPr>
      </w:pPr>
    </w:p>
    <w:p w14:paraId="54AC6DFB" w14:textId="77777777" w:rsidR="00476D70" w:rsidRPr="00476D70" w:rsidRDefault="00476D70" w:rsidP="00476D70">
      <w:pPr>
        <w:jc w:val="center"/>
        <w:rPr>
          <w:sz w:val="24"/>
          <w:szCs w:val="24"/>
          <w:lang w:val="de-DE"/>
        </w:rPr>
      </w:pPr>
    </w:p>
    <w:p w14:paraId="760408FA" w14:textId="77777777" w:rsidR="00476D70" w:rsidRPr="00476D70" w:rsidRDefault="00476D70" w:rsidP="00476D70">
      <w:pPr>
        <w:rPr>
          <w:sz w:val="24"/>
          <w:szCs w:val="24"/>
          <w:lang w:val="de-DE"/>
        </w:rPr>
      </w:pPr>
    </w:p>
    <w:p w14:paraId="13D95403" w14:textId="77777777" w:rsidR="00476D70" w:rsidRPr="00476D70" w:rsidRDefault="00476D70" w:rsidP="00476D70">
      <w:pPr>
        <w:rPr>
          <w:sz w:val="40"/>
          <w:szCs w:val="40"/>
          <w:lang w:val="de-DE"/>
        </w:rPr>
      </w:pPr>
    </w:p>
    <w:p w14:paraId="1378ADDE" w14:textId="12A83253" w:rsidR="00476D70" w:rsidRPr="00476D70" w:rsidRDefault="00476D70" w:rsidP="00476D70">
      <w:pPr>
        <w:jc w:val="center"/>
        <w:rPr>
          <w:sz w:val="48"/>
          <w:szCs w:val="48"/>
          <w:lang w:val="de-DE"/>
        </w:rPr>
      </w:pPr>
      <w:r>
        <w:rPr>
          <w:sz w:val="48"/>
          <w:szCs w:val="48"/>
          <w:lang w:val="de"/>
        </w:rPr>
        <w:t>Wie modelliert man eine Flasche?</w:t>
      </w:r>
    </w:p>
    <w:p w14:paraId="17B2C8A9" w14:textId="77777777" w:rsidR="00476D70" w:rsidRPr="00476D70" w:rsidRDefault="00476D70" w:rsidP="00476D70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"/>
        </w:rPr>
        <w:t>Lehrendenversion</w:t>
      </w:r>
    </w:p>
    <w:p w14:paraId="40C8B8E9" w14:textId="1E69B5CD" w:rsidR="00476D70" w:rsidRPr="00476D70" w:rsidRDefault="00C43083" w:rsidP="00476D70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"/>
        </w:rPr>
        <w:t>1.2</w:t>
      </w:r>
      <w:r w:rsidR="00476D70">
        <w:rPr>
          <w:sz w:val="28"/>
          <w:szCs w:val="28"/>
          <w:lang w:val="de"/>
        </w:rPr>
        <w:t>.202</w:t>
      </w:r>
      <w:r>
        <w:rPr>
          <w:sz w:val="28"/>
          <w:szCs w:val="28"/>
          <w:lang w:val="de"/>
        </w:rPr>
        <w:t>3</w:t>
      </w:r>
    </w:p>
    <w:p w14:paraId="6F6AA15A" w14:textId="77777777" w:rsidR="00476D70" w:rsidRPr="00476D70" w:rsidRDefault="00476D70" w:rsidP="00476D70">
      <w:pPr>
        <w:rPr>
          <w:sz w:val="40"/>
          <w:szCs w:val="40"/>
          <w:lang w:val="de-DE"/>
        </w:rPr>
      </w:pPr>
    </w:p>
    <w:p w14:paraId="68BCEA4F" w14:textId="77777777" w:rsidR="00476D70" w:rsidRPr="00476D70" w:rsidRDefault="00476D70" w:rsidP="00476D70">
      <w:pPr>
        <w:rPr>
          <w:sz w:val="40"/>
          <w:szCs w:val="40"/>
          <w:lang w:val="de-DE"/>
        </w:rPr>
      </w:pPr>
    </w:p>
    <w:p w14:paraId="3275D934" w14:textId="77777777" w:rsidR="00476D70" w:rsidRPr="00476D70" w:rsidRDefault="00476D70" w:rsidP="00476D70">
      <w:pPr>
        <w:rPr>
          <w:sz w:val="40"/>
          <w:szCs w:val="40"/>
          <w:lang w:val="de-DE"/>
        </w:rPr>
      </w:pPr>
    </w:p>
    <w:p w14:paraId="6E1A6712" w14:textId="77777777" w:rsidR="00476D70" w:rsidRPr="00476D70" w:rsidRDefault="00476D70" w:rsidP="00476D70">
      <w:pPr>
        <w:jc w:val="center"/>
        <w:rPr>
          <w:sz w:val="40"/>
          <w:szCs w:val="40"/>
          <w:lang w:val="de-DE"/>
        </w:rPr>
      </w:pPr>
    </w:p>
    <w:p w14:paraId="05F10CD0" w14:textId="77777777" w:rsidR="00476D70" w:rsidRPr="00476D70" w:rsidRDefault="00476D70" w:rsidP="00476D70">
      <w:pPr>
        <w:jc w:val="center"/>
        <w:rPr>
          <w:sz w:val="40"/>
          <w:szCs w:val="40"/>
          <w:lang w:val="de-DE"/>
        </w:rPr>
      </w:pPr>
    </w:p>
    <w:p w14:paraId="0B853100" w14:textId="77777777" w:rsidR="00476D70" w:rsidRDefault="00476D70" w:rsidP="00476D70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00E9CC6C" wp14:editId="2453EFCD">
            <wp:extent cx="5731510" cy="1177925"/>
            <wp:effectExtent l="0" t="0" r="2540" b="3175"/>
            <wp:docPr id="9" name="Kuva 9" descr="Grafische Benutzeroberfläche, Text, Anwendung&#10;&#10;Beschreibung automatisch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591A3" w14:textId="77777777" w:rsidR="00476D70" w:rsidRDefault="00476D70" w:rsidP="00476D70">
      <w:pPr>
        <w:rPr>
          <w:sz w:val="36"/>
          <w:szCs w:val="36"/>
        </w:rPr>
      </w:pPr>
    </w:p>
    <w:p w14:paraId="43A0DC60" w14:textId="77777777" w:rsidR="00476D70" w:rsidRPr="00B95848" w:rsidRDefault="00476D70" w:rsidP="00476D70">
      <w:pPr>
        <w:rPr>
          <w:sz w:val="36"/>
          <w:szCs w:val="36"/>
        </w:rPr>
      </w:pPr>
    </w:p>
    <w:p w14:paraId="40EDDF52" w14:textId="0D3337A1" w:rsidR="00476D70" w:rsidRDefault="00476D70" w:rsidP="00476D70">
      <w:pPr>
        <w:jc w:val="center"/>
        <w:rPr>
          <w:lang w:val="de"/>
        </w:rPr>
      </w:pPr>
      <w:r>
        <w:rPr>
          <w:noProof/>
          <w:color w:val="049CCF"/>
          <w:sz w:val="29"/>
          <w:szCs w:val="29"/>
          <w:shd w:val="clear" w:color="auto" w:fill="FFFFFF"/>
          <w:lang w:val="de"/>
        </w:rPr>
        <w:drawing>
          <wp:inline distT="0" distB="0" distL="0" distR="0" wp14:anchorId="43235787" wp14:editId="3DE1A308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D98">
        <w:rPr>
          <w:color w:val="464646"/>
          <w:sz w:val="29"/>
          <w:szCs w:val="29"/>
          <w:lang w:val="de"/>
        </w:rPr>
        <w:br/>
      </w:r>
      <w:r w:rsidRPr="00E11D98">
        <w:rPr>
          <w:color w:val="464646"/>
          <w:sz w:val="29"/>
          <w:szCs w:val="29"/>
          <w:shd w:val="clear" w:color="auto" w:fill="FFFFFF"/>
          <w:lang w:val="de"/>
        </w:rPr>
        <w:t xml:space="preserve">Dieses Werk ist lizenziert unter einer </w:t>
      </w:r>
      <w:hyperlink r:id="rId14" w:history="1">
        <w:r w:rsidRPr="00E11D98">
          <w:rPr>
            <w:rStyle w:val="Hyperlinkki"/>
            <w:color w:val="049CCF"/>
            <w:sz w:val="29"/>
            <w:szCs w:val="29"/>
            <w:shd w:val="clear" w:color="auto" w:fill="FFFFFF"/>
            <w:lang w:val="de"/>
          </w:rPr>
          <w:t>Creative Commons Namensnennung-Weitergabe unter gleichen Bedingungen 4.0 International Lizenz.</w:t>
        </w:r>
      </w:hyperlink>
    </w:p>
    <w:bookmarkEnd w:id="0"/>
    <w:p w14:paraId="396AC73D" w14:textId="2B824DC2" w:rsidR="16763406" w:rsidRPr="000E0BF4" w:rsidRDefault="16763406" w:rsidP="00CA3CC8">
      <w:pPr>
        <w:pStyle w:val="Otsikko1"/>
        <w:jc w:val="both"/>
        <w:rPr>
          <w:rFonts w:ascii="Calibri Light" w:hAnsi="Calibri Light"/>
          <w:lang w:val="de-DE"/>
        </w:rPr>
      </w:pPr>
      <w:r w:rsidRPr="16763406">
        <w:rPr>
          <w:lang w:val="de"/>
        </w:rPr>
        <w:lastRenderedPageBreak/>
        <w:t xml:space="preserve">Wie modelliert man eine Flasche? </w:t>
      </w:r>
      <w:r w:rsidR="000E0BF4">
        <w:rPr>
          <w:lang w:val="de"/>
        </w:rPr>
        <w:t xml:space="preserve">– </w:t>
      </w:r>
      <w:r w:rsidR="00B4461F">
        <w:rPr>
          <w:lang w:val="de"/>
        </w:rPr>
        <w:t>Lehrenden</w:t>
      </w:r>
      <w:r w:rsidR="000E0BF4">
        <w:rPr>
          <w:lang w:val="de"/>
        </w:rPr>
        <w:t>v</w:t>
      </w:r>
      <w:r w:rsidRPr="16763406">
        <w:rPr>
          <w:lang w:val="de"/>
        </w:rPr>
        <w:t>ersion</w:t>
      </w:r>
    </w:p>
    <w:p w14:paraId="06C3D4FB" w14:textId="21B3A5FF" w:rsidR="16763406" w:rsidRPr="000E0BF4" w:rsidRDefault="16763406" w:rsidP="00CA3CC8">
      <w:pPr>
        <w:jc w:val="both"/>
        <w:rPr>
          <w:lang w:val="de-DE"/>
        </w:rPr>
      </w:pPr>
    </w:p>
    <w:p w14:paraId="682A8795" w14:textId="27AE78A5" w:rsidR="00E133EE" w:rsidRDefault="00771F54" w:rsidP="00CA3CC8">
      <w:pPr>
        <w:pStyle w:val="Otsikko2"/>
        <w:jc w:val="both"/>
      </w:pPr>
      <w:r>
        <w:rPr>
          <w:lang w:val="de"/>
        </w:rPr>
        <w:t>Überblick über das Experiment</w:t>
      </w:r>
    </w:p>
    <w:p w14:paraId="4C2E0F34" w14:textId="2D9F9EFE" w:rsidR="00E90CC1" w:rsidRPr="000E0BF4" w:rsidRDefault="00413059" w:rsidP="00CA3CC8">
      <w:pPr>
        <w:pStyle w:val="Luettelokappale"/>
        <w:numPr>
          <w:ilvl w:val="0"/>
          <w:numId w:val="1"/>
        </w:numPr>
        <w:jc w:val="both"/>
        <w:rPr>
          <w:lang w:val="de-DE"/>
        </w:rPr>
      </w:pPr>
      <w:r>
        <w:rPr>
          <w:lang w:val="de"/>
        </w:rPr>
        <w:t xml:space="preserve">Thema: Akustik, stehende Wellen, physikalische Modelle </w:t>
      </w:r>
    </w:p>
    <w:p w14:paraId="5B5A0FD4" w14:textId="75EF9243" w:rsidR="0094388C" w:rsidRPr="000E0BF4" w:rsidRDefault="004B0C95" w:rsidP="00CA3CC8">
      <w:pPr>
        <w:pStyle w:val="Luettelokappale"/>
        <w:numPr>
          <w:ilvl w:val="0"/>
          <w:numId w:val="1"/>
        </w:numPr>
        <w:jc w:val="both"/>
        <w:rPr>
          <w:lang w:val="de-DE"/>
        </w:rPr>
      </w:pPr>
      <w:r>
        <w:rPr>
          <w:lang w:val="de"/>
        </w:rPr>
        <w:t xml:space="preserve">Zielgruppe: </w:t>
      </w:r>
      <w:r w:rsidR="00B4461F">
        <w:rPr>
          <w:lang w:val="de"/>
        </w:rPr>
        <w:t xml:space="preserve">Physikstudierende und </w:t>
      </w:r>
      <w:r>
        <w:rPr>
          <w:lang w:val="de"/>
        </w:rPr>
        <w:t xml:space="preserve">Lehramtsstudierende für Physik. Geeignet für verschiedene Studienphasen mit </w:t>
      </w:r>
      <w:r w:rsidR="00B4461F">
        <w:rPr>
          <w:lang w:val="de"/>
        </w:rPr>
        <w:t>variabler</w:t>
      </w:r>
      <w:r>
        <w:rPr>
          <w:lang w:val="de"/>
        </w:rPr>
        <w:t xml:space="preserve"> Offenheit des Experiments</w:t>
      </w:r>
      <w:r w:rsidR="0FAE0D1C">
        <w:rPr>
          <w:lang w:val="de"/>
        </w:rPr>
        <w:t xml:space="preserve"> und de</w:t>
      </w:r>
      <w:r w:rsidR="00B4461F">
        <w:rPr>
          <w:lang w:val="de"/>
        </w:rPr>
        <w:t>r</w:t>
      </w:r>
      <w:r w:rsidR="0FAE0D1C">
        <w:rPr>
          <w:lang w:val="de"/>
        </w:rPr>
        <w:t xml:space="preserve"> optionalen Zusatzuntersuchungen</w:t>
      </w:r>
      <w:r>
        <w:rPr>
          <w:lang w:val="de"/>
        </w:rPr>
        <w:t>.</w:t>
      </w:r>
    </w:p>
    <w:p w14:paraId="046D3877" w14:textId="14194BA9" w:rsidR="004B0C95" w:rsidRPr="004822A6" w:rsidRDefault="0034095C" w:rsidP="00CA3CC8">
      <w:pPr>
        <w:pStyle w:val="Luettelokappale"/>
        <w:numPr>
          <w:ilvl w:val="0"/>
          <w:numId w:val="1"/>
        </w:numPr>
        <w:jc w:val="both"/>
        <w:rPr>
          <w:lang w:val="de"/>
        </w:rPr>
      </w:pPr>
      <w:r>
        <w:rPr>
          <w:lang w:val="de"/>
        </w:rPr>
        <w:t xml:space="preserve">Zeitrahmen: 2 bis </w:t>
      </w:r>
      <w:r w:rsidR="00DD3314">
        <w:rPr>
          <w:lang w:val="de"/>
        </w:rPr>
        <w:t>2,5 Stunden für die grundlegende Aufgabe mit Berichterstattung als Hausaufgabe. 4 Stunden bei Einbeziehung zusätzlicher Untersuchungen.</w:t>
      </w:r>
      <w:r w:rsidR="00952311">
        <w:rPr>
          <w:lang w:val="de"/>
        </w:rPr>
        <w:t xml:space="preserve"> </w:t>
      </w:r>
      <w:r w:rsidR="05D3D460">
        <w:rPr>
          <w:lang w:val="de"/>
        </w:rPr>
        <w:t xml:space="preserve">Für </w:t>
      </w:r>
      <w:r w:rsidR="00B4461F">
        <w:rPr>
          <w:lang w:val="de"/>
        </w:rPr>
        <w:t>Studierende</w:t>
      </w:r>
      <w:r w:rsidR="05D3D460">
        <w:rPr>
          <w:lang w:val="de"/>
        </w:rPr>
        <w:t xml:space="preserve"> mit wenig Erfahrung mit Grafiken wird empfohlen, zusätzliche Zeit für die Erstellung der Diagramme einzuplanen.</w:t>
      </w:r>
    </w:p>
    <w:p w14:paraId="307F2652" w14:textId="6EB7FFD9" w:rsidR="00D905C7" w:rsidRPr="000E0BF4" w:rsidRDefault="00B4461F" w:rsidP="00CA3CC8">
      <w:pPr>
        <w:pStyle w:val="Luettelokappale"/>
        <w:numPr>
          <w:ilvl w:val="0"/>
          <w:numId w:val="1"/>
        </w:numPr>
        <w:jc w:val="both"/>
        <w:rPr>
          <w:lang w:val="de-DE"/>
        </w:rPr>
      </w:pPr>
      <w:r>
        <w:rPr>
          <w:lang w:val="de"/>
        </w:rPr>
        <w:t>Es wird e</w:t>
      </w:r>
      <w:r w:rsidR="00D905C7">
        <w:rPr>
          <w:lang w:val="de"/>
        </w:rPr>
        <w:t>mpfohlen, zu zweit zu arbeiten</w:t>
      </w:r>
    </w:p>
    <w:p w14:paraId="4A40D7C5" w14:textId="49BE9CA4" w:rsidR="00AD2677" w:rsidRPr="000E0BF4" w:rsidRDefault="0035799B" w:rsidP="00CA3CC8">
      <w:pPr>
        <w:jc w:val="both"/>
        <w:rPr>
          <w:lang w:val="de-DE"/>
        </w:rPr>
      </w:pPr>
      <w:r>
        <w:rPr>
          <w:lang w:val="de"/>
        </w:rPr>
        <w:t>Es ist in verschiedenen Studienmaterialien</w:t>
      </w:r>
      <w:r w:rsidR="00AD2677">
        <w:rPr>
          <w:lang w:val="de"/>
        </w:rPr>
        <w:t xml:space="preserve"> durchaus üblich eine </w:t>
      </w:r>
      <w:r w:rsidR="00B4461F">
        <w:rPr>
          <w:lang w:val="de"/>
        </w:rPr>
        <w:t>Flasche als</w:t>
      </w:r>
      <w:r w:rsidR="008979F3">
        <w:rPr>
          <w:lang w:val="de"/>
        </w:rPr>
        <w:t xml:space="preserve"> Beispiel</w:t>
      </w:r>
      <w:r w:rsidR="00AD2677">
        <w:rPr>
          <w:lang w:val="de"/>
        </w:rPr>
        <w:t xml:space="preserve"> zu </w:t>
      </w:r>
      <w:r w:rsidR="00B4461F">
        <w:rPr>
          <w:lang w:val="de"/>
        </w:rPr>
        <w:t>nutzen</w:t>
      </w:r>
      <w:r>
        <w:rPr>
          <w:lang w:val="de"/>
        </w:rPr>
        <w:t>, wenn stehende Wellen diskutiert werden, die sich in einer offen-geschlossenen Röhre bilden.</w:t>
      </w:r>
      <w:r w:rsidR="00AD2677">
        <w:rPr>
          <w:lang w:val="de"/>
        </w:rPr>
        <w:t xml:space="preserve"> </w:t>
      </w:r>
      <w:r w:rsidR="002A4428">
        <w:rPr>
          <w:lang w:val="de"/>
        </w:rPr>
        <w:t xml:space="preserve">In diesem Experiment können die Studierenden dieses </w:t>
      </w:r>
      <w:r w:rsidR="00372D0E">
        <w:rPr>
          <w:lang w:val="de"/>
        </w:rPr>
        <w:t xml:space="preserve">Röhrenmodell </w:t>
      </w:r>
      <w:r w:rsidR="002A4428">
        <w:rPr>
          <w:lang w:val="de"/>
        </w:rPr>
        <w:t>und ein weiteres Modell</w:t>
      </w:r>
      <w:r w:rsidR="00AD2677">
        <w:rPr>
          <w:lang w:val="de"/>
        </w:rPr>
        <w:t xml:space="preserve">, </w:t>
      </w:r>
      <w:r w:rsidR="001518B1">
        <w:rPr>
          <w:lang w:val="de"/>
        </w:rPr>
        <w:t>das die Resonanzfrequenz eines flaschenartigen Objekts beschreibt (Helmholtz-Resonator</w:t>
      </w:r>
      <w:r w:rsidR="00B4461F">
        <w:rPr>
          <w:lang w:val="de"/>
        </w:rPr>
        <w:t>-M</w:t>
      </w:r>
      <w:r w:rsidR="001518B1">
        <w:rPr>
          <w:lang w:val="de"/>
        </w:rPr>
        <w:t xml:space="preserve">odell), testen. </w:t>
      </w:r>
    </w:p>
    <w:p w14:paraId="43889708" w14:textId="01DE5304" w:rsidR="57138A91" w:rsidRPr="000E0BF4" w:rsidRDefault="00B4461F" w:rsidP="00CA3CC8">
      <w:pPr>
        <w:jc w:val="both"/>
        <w:rPr>
          <w:lang w:val="de-DE"/>
        </w:rPr>
      </w:pPr>
      <w:r>
        <w:rPr>
          <w:lang w:val="de"/>
        </w:rPr>
        <w:t>Als</w:t>
      </w:r>
      <w:r w:rsidR="57138A91">
        <w:rPr>
          <w:lang w:val="de"/>
        </w:rPr>
        <w:t xml:space="preserve"> wichtiger Hinweis zu diesem Experiment ist</w:t>
      </w:r>
      <w:r>
        <w:rPr>
          <w:lang w:val="de"/>
        </w:rPr>
        <w:t xml:space="preserve"> zu erwähnen</w:t>
      </w:r>
      <w:r w:rsidR="57138A91">
        <w:rPr>
          <w:lang w:val="de"/>
        </w:rPr>
        <w:t xml:space="preserve">, dass die </w:t>
      </w:r>
      <w:r>
        <w:rPr>
          <w:lang w:val="de"/>
        </w:rPr>
        <w:t>Studierenden</w:t>
      </w:r>
      <w:r w:rsidR="57138A91">
        <w:rPr>
          <w:lang w:val="de"/>
        </w:rPr>
        <w:t xml:space="preserve"> </w:t>
      </w:r>
      <w:r w:rsidR="57138A91" w:rsidRPr="7ED3E667">
        <w:rPr>
          <w:i/>
          <w:iCs/>
          <w:lang w:val="de"/>
        </w:rPr>
        <w:t>sehr</w:t>
      </w:r>
      <w:r w:rsidR="5B4EEA99">
        <w:rPr>
          <w:lang w:val="de"/>
        </w:rPr>
        <w:t xml:space="preserve"> oft an sich und ihren Messungen zweifeln, wenn die gemessenen Frequenzen nicht mit den Modellvorhersagen übereinstimmen. </w:t>
      </w:r>
      <w:r>
        <w:rPr>
          <w:lang w:val="de"/>
        </w:rPr>
        <w:t>Man kann mit den Studierenden interessante Gespräche darüber führen</w:t>
      </w:r>
      <w:r w:rsidR="5B4EEA99">
        <w:rPr>
          <w:lang w:val="de"/>
        </w:rPr>
        <w:t xml:space="preserve">, was ein Modell </w:t>
      </w:r>
      <w:r>
        <w:rPr>
          <w:lang w:val="de"/>
        </w:rPr>
        <w:t>ist</w:t>
      </w:r>
      <w:r w:rsidR="5B4EEA99">
        <w:rPr>
          <w:lang w:val="de"/>
        </w:rPr>
        <w:t xml:space="preserve"> und </w:t>
      </w:r>
      <w:r>
        <w:rPr>
          <w:lang w:val="de"/>
        </w:rPr>
        <w:t>dass</w:t>
      </w:r>
      <w:r w:rsidR="138D3967">
        <w:rPr>
          <w:lang w:val="de"/>
        </w:rPr>
        <w:t xml:space="preserve"> man, selbst wenn </w:t>
      </w:r>
      <w:r>
        <w:rPr>
          <w:lang w:val="de"/>
        </w:rPr>
        <w:t xml:space="preserve">man </w:t>
      </w:r>
      <w:r w:rsidR="138D3967">
        <w:rPr>
          <w:lang w:val="de"/>
        </w:rPr>
        <w:t>plan</w:t>
      </w:r>
      <w:r>
        <w:rPr>
          <w:lang w:val="de"/>
        </w:rPr>
        <w:t>t,</w:t>
      </w:r>
      <w:r w:rsidR="138D3967">
        <w:rPr>
          <w:lang w:val="de"/>
        </w:rPr>
        <w:t xml:space="preserve"> ein Modell zur Interpretation </w:t>
      </w:r>
      <w:r>
        <w:rPr>
          <w:lang w:val="de"/>
        </w:rPr>
        <w:t>der</w:t>
      </w:r>
      <w:r w:rsidR="138D3967">
        <w:rPr>
          <w:lang w:val="de"/>
        </w:rPr>
        <w:t xml:space="preserve"> experimentellen Ergebnisse zu verwenden, nicht </w:t>
      </w:r>
      <w:r>
        <w:rPr>
          <w:lang w:val="de"/>
        </w:rPr>
        <w:t>mit der Erwartung</w:t>
      </w:r>
      <w:r w:rsidR="138D3967">
        <w:rPr>
          <w:lang w:val="de"/>
        </w:rPr>
        <w:t xml:space="preserve"> </w:t>
      </w:r>
      <w:r>
        <w:rPr>
          <w:lang w:val="de"/>
        </w:rPr>
        <w:t>in ein</w:t>
      </w:r>
      <w:r w:rsidR="138D3967">
        <w:rPr>
          <w:lang w:val="de"/>
        </w:rPr>
        <w:t xml:space="preserve"> Experiment gehen </w:t>
      </w:r>
      <w:r>
        <w:rPr>
          <w:lang w:val="de"/>
        </w:rPr>
        <w:t xml:space="preserve">sollte, </w:t>
      </w:r>
      <w:r w:rsidR="72A9B3C2">
        <w:rPr>
          <w:lang w:val="de"/>
        </w:rPr>
        <w:t>dass das Modell genau korrekt</w:t>
      </w:r>
      <w:r w:rsidR="57138A91">
        <w:rPr>
          <w:lang w:val="de"/>
        </w:rPr>
        <w:t xml:space="preserve"> ist</w:t>
      </w:r>
      <w:r w:rsidR="72A9B3C2">
        <w:rPr>
          <w:lang w:val="de"/>
        </w:rPr>
        <w:t>.</w:t>
      </w:r>
    </w:p>
    <w:p w14:paraId="44699619" w14:textId="42CC7F63" w:rsidR="00044A73" w:rsidRPr="000E0BF4" w:rsidRDefault="00044A73" w:rsidP="00CA3CC8">
      <w:pPr>
        <w:pStyle w:val="Otsikko2"/>
        <w:jc w:val="both"/>
        <w:rPr>
          <w:lang w:val="de-DE"/>
        </w:rPr>
      </w:pPr>
      <w:r>
        <w:rPr>
          <w:lang w:val="de"/>
        </w:rPr>
        <w:t xml:space="preserve">Benötigte </w:t>
      </w:r>
      <w:r w:rsidR="0073629C">
        <w:rPr>
          <w:lang w:val="de"/>
        </w:rPr>
        <w:t>Equipment</w:t>
      </w:r>
    </w:p>
    <w:p w14:paraId="0015653C" w14:textId="3E859CA1" w:rsidR="00044A73" w:rsidRPr="004822A6" w:rsidRDefault="0031101A" w:rsidP="00CA3CC8">
      <w:pPr>
        <w:jc w:val="both"/>
        <w:rPr>
          <w:lang w:val="de"/>
        </w:rPr>
      </w:pPr>
      <w:r>
        <w:rPr>
          <w:rStyle w:val="normaltextrun"/>
          <w:color w:val="000000"/>
          <w:shd w:val="clear" w:color="auto" w:fill="FFFFFF"/>
          <w:lang w:val="de"/>
        </w:rPr>
        <w:t>Smartphone (Frequenzanalysator</w:t>
      </w:r>
      <w:r w:rsidR="00804EB7">
        <w:rPr>
          <w:rStyle w:val="normaltextrun"/>
          <w:color w:val="000000"/>
          <w:shd w:val="clear" w:color="auto" w:fill="FFFFFF"/>
          <w:lang w:val="de"/>
        </w:rPr>
        <w:t>), mindestens eine Flasche (langer Hals bevorzugt</w:t>
      </w:r>
      <w:r>
        <w:rPr>
          <w:lang w:val="de"/>
        </w:rPr>
        <w:t xml:space="preserve">), </w:t>
      </w:r>
      <w:r>
        <w:rPr>
          <w:rStyle w:val="normaltextrun"/>
          <w:color w:val="000000"/>
          <w:shd w:val="clear" w:color="auto" w:fill="FFFFFF"/>
          <w:lang w:val="de"/>
        </w:rPr>
        <w:t>Wasser,</w:t>
      </w:r>
      <w:r w:rsidR="00B4461F">
        <w:rPr>
          <w:rStyle w:val="normaltextrun"/>
          <w:color w:val="000000"/>
          <w:shd w:val="clear" w:color="auto" w:fill="FFFFFF"/>
          <w:lang w:val="de"/>
        </w:rPr>
        <w:t xml:space="preserve"> </w:t>
      </w:r>
      <w:r>
        <w:rPr>
          <w:rStyle w:val="normaltextrun"/>
          <w:color w:val="000000"/>
          <w:shd w:val="clear" w:color="auto" w:fill="FFFFFF"/>
          <w:lang w:val="de"/>
        </w:rPr>
        <w:t>Messbecher, Lineal- oder Maßband, Grafik- und Analysesoftware.</w:t>
      </w:r>
      <w:r w:rsidR="00B4461F">
        <w:rPr>
          <w:rStyle w:val="normaltextrun"/>
          <w:color w:val="000000"/>
          <w:shd w:val="clear" w:color="auto" w:fill="FFFFFF"/>
          <w:lang w:val="de"/>
        </w:rPr>
        <w:t xml:space="preserve"> Außerdem wird ggf. ein Tabellenkalkulationsprogramm</w:t>
      </w:r>
      <w:r w:rsidR="00B4461F">
        <w:rPr>
          <w:lang w:val="de"/>
        </w:rPr>
        <w:t xml:space="preserve"> benötigt</w:t>
      </w:r>
      <w:r w:rsidR="007F5EB6">
        <w:rPr>
          <w:lang w:val="de"/>
        </w:rPr>
        <w:t xml:space="preserve">. </w:t>
      </w:r>
      <w:r>
        <w:rPr>
          <w:rStyle w:val="normaltextrun"/>
          <w:color w:val="000000"/>
          <w:shd w:val="clear" w:color="auto" w:fill="FFFFFF"/>
          <w:lang w:val="de"/>
        </w:rPr>
        <w:t>Auf die Frequenzdaten können Sie mit der kostenlosen Smartphone-App phyphox (RWTH Aachen) oder der Physics Toolbox Sensor Suite (Vieyra Software / Chystian Vieyra) zugreifen.</w:t>
      </w:r>
    </w:p>
    <w:p w14:paraId="496BE72F" w14:textId="11A8E135" w:rsidR="00DC0AD7" w:rsidRPr="000E0BF4" w:rsidRDefault="00B4461F" w:rsidP="00CA3CC8">
      <w:pPr>
        <w:jc w:val="both"/>
        <w:rPr>
          <w:lang w:val="de-DE"/>
        </w:rPr>
      </w:pPr>
      <w:r>
        <w:rPr>
          <w:lang w:val="de"/>
        </w:rPr>
        <w:t>Abgesehen von der Beschaffung des aufgeführten Equipments erfordert dieses</w:t>
      </w:r>
      <w:r w:rsidR="00F77661">
        <w:rPr>
          <w:lang w:val="de"/>
        </w:rPr>
        <w:t xml:space="preserve"> Experiment wenig Vorbereitung im Vorfel</w:t>
      </w:r>
      <w:r>
        <w:rPr>
          <w:lang w:val="de"/>
        </w:rPr>
        <w:t>d</w:t>
      </w:r>
      <w:r w:rsidR="00CD6106">
        <w:rPr>
          <w:lang w:val="de"/>
        </w:rPr>
        <w:t xml:space="preserve">. </w:t>
      </w:r>
      <w:r>
        <w:rPr>
          <w:lang w:val="de"/>
        </w:rPr>
        <w:t>Den Studierenden wird angeraten</w:t>
      </w:r>
      <w:r w:rsidR="00933A89">
        <w:rPr>
          <w:lang w:val="de"/>
        </w:rPr>
        <w:t>,</w:t>
      </w:r>
      <w:r w:rsidR="00CD6106">
        <w:rPr>
          <w:lang w:val="de"/>
        </w:rPr>
        <w:t xml:space="preserve"> eine der kostenlosen </w:t>
      </w:r>
      <w:r w:rsidR="002A6380">
        <w:rPr>
          <w:lang w:val="de"/>
        </w:rPr>
        <w:t xml:space="preserve">Smartphone-Apps phyphox oder Physics Toolbox Sensor Suite </w:t>
      </w:r>
      <w:r w:rsidR="00DC0019">
        <w:rPr>
          <w:lang w:val="de"/>
        </w:rPr>
        <w:t>(oder ähnlich</w:t>
      </w:r>
      <w:r>
        <w:rPr>
          <w:lang w:val="de"/>
        </w:rPr>
        <w:t>e</w:t>
      </w:r>
      <w:r w:rsidR="00DC0019">
        <w:rPr>
          <w:lang w:val="de"/>
        </w:rPr>
        <w:t>)</w:t>
      </w:r>
      <w:r w:rsidR="00933A89">
        <w:rPr>
          <w:lang w:val="de"/>
        </w:rPr>
        <w:t xml:space="preserve"> vor</w:t>
      </w:r>
      <w:r w:rsidR="00213B18">
        <w:rPr>
          <w:lang w:val="de"/>
        </w:rPr>
        <w:t xml:space="preserve"> der </w:t>
      </w:r>
      <w:r>
        <w:rPr>
          <w:lang w:val="de"/>
        </w:rPr>
        <w:t>Durchführung</w:t>
      </w:r>
      <w:r w:rsidR="00CD6106">
        <w:rPr>
          <w:lang w:val="de"/>
        </w:rPr>
        <w:t xml:space="preserve"> herunterzuladen und zu installieren</w:t>
      </w:r>
      <w:r w:rsidR="008F6EB1">
        <w:rPr>
          <w:lang w:val="de"/>
        </w:rPr>
        <w:t xml:space="preserve">, wenn das </w:t>
      </w:r>
      <w:r>
        <w:rPr>
          <w:lang w:val="de"/>
        </w:rPr>
        <w:t>Experiment</w:t>
      </w:r>
      <w:r w:rsidR="008F6EB1">
        <w:rPr>
          <w:lang w:val="de"/>
        </w:rPr>
        <w:t xml:space="preserve"> in </w:t>
      </w:r>
      <w:r>
        <w:rPr>
          <w:lang w:val="de"/>
        </w:rPr>
        <w:t>Präsenz</w:t>
      </w:r>
      <w:r w:rsidR="008F6EB1">
        <w:rPr>
          <w:lang w:val="de"/>
        </w:rPr>
        <w:t xml:space="preserve"> durchgeführt wird</w:t>
      </w:r>
      <w:r w:rsidR="002C11B5">
        <w:rPr>
          <w:lang w:val="de"/>
        </w:rPr>
        <w:t>.</w:t>
      </w:r>
      <w:r w:rsidR="00213B18">
        <w:rPr>
          <w:lang w:val="de"/>
        </w:rPr>
        <w:t xml:space="preserve"> </w:t>
      </w:r>
      <w:r w:rsidR="00DC5EE6">
        <w:rPr>
          <w:lang w:val="de"/>
        </w:rPr>
        <w:t xml:space="preserve">Stellen Sie insbesondere in einem Fernunterrichtsszenario </w:t>
      </w:r>
      <w:r w:rsidR="00823978">
        <w:rPr>
          <w:lang w:val="de"/>
        </w:rPr>
        <w:t>sicher</w:t>
      </w:r>
      <w:r w:rsidR="00C95E81">
        <w:rPr>
          <w:lang w:val="de"/>
        </w:rPr>
        <w:t xml:space="preserve">, dass die </w:t>
      </w:r>
      <w:r>
        <w:rPr>
          <w:lang w:val="de"/>
        </w:rPr>
        <w:t>Studierenden</w:t>
      </w:r>
      <w:r w:rsidR="00C95E81">
        <w:rPr>
          <w:lang w:val="de"/>
        </w:rPr>
        <w:t xml:space="preserve"> einen</w:t>
      </w:r>
      <w:r>
        <w:rPr>
          <w:lang w:val="de"/>
        </w:rPr>
        <w:t xml:space="preserve"> </w:t>
      </w:r>
      <w:r w:rsidR="00797E00">
        <w:rPr>
          <w:lang w:val="de"/>
        </w:rPr>
        <w:t xml:space="preserve">Zugang zu einem Tabellenkalkulationsprogramm </w:t>
      </w:r>
      <w:r w:rsidR="00A00A11">
        <w:rPr>
          <w:lang w:val="de"/>
        </w:rPr>
        <w:t xml:space="preserve">und </w:t>
      </w:r>
      <w:r>
        <w:rPr>
          <w:lang w:val="de"/>
        </w:rPr>
        <w:t>einer Grafiksoftware</w:t>
      </w:r>
      <w:r w:rsidR="00213B18">
        <w:rPr>
          <w:lang w:val="de"/>
        </w:rPr>
        <w:t xml:space="preserve"> haben</w:t>
      </w:r>
      <w:r w:rsidR="00DC5EE6">
        <w:rPr>
          <w:lang w:val="de"/>
        </w:rPr>
        <w:t>.</w:t>
      </w:r>
    </w:p>
    <w:p w14:paraId="42FF0300" w14:textId="572BBB3D" w:rsidR="008E1399" w:rsidRPr="000E0BF4" w:rsidRDefault="008E1399" w:rsidP="00CA3CC8">
      <w:pPr>
        <w:jc w:val="both"/>
        <w:rPr>
          <w:lang w:val="de-DE"/>
        </w:rPr>
      </w:pPr>
    </w:p>
    <w:p w14:paraId="43BB0101" w14:textId="20EEF636" w:rsidR="002B0462" w:rsidRPr="000E0BF4" w:rsidRDefault="00136518" w:rsidP="00CA3CC8">
      <w:pPr>
        <w:pStyle w:val="Otsikko2"/>
        <w:jc w:val="both"/>
        <w:rPr>
          <w:lang w:val="de-DE"/>
        </w:rPr>
      </w:pPr>
      <w:r>
        <w:rPr>
          <w:lang w:val="de"/>
        </w:rPr>
        <w:lastRenderedPageBreak/>
        <w:t xml:space="preserve">Kurzanleitung zu den </w:t>
      </w:r>
      <w:r w:rsidR="00B4461F">
        <w:rPr>
          <w:lang w:val="de"/>
        </w:rPr>
        <w:t>Apps zur Messdatenerfassung</w:t>
      </w:r>
      <w:r w:rsidR="009F1CC3">
        <w:rPr>
          <w:lang w:val="de"/>
        </w:rPr>
        <w:tab/>
      </w:r>
    </w:p>
    <w:p w14:paraId="34F9E51E" w14:textId="77777777" w:rsidR="00546DC9" w:rsidRDefault="009F1CC3" w:rsidP="00CA3CC8">
      <w:pPr>
        <w:keepNext/>
        <w:jc w:val="both"/>
      </w:pPr>
      <w:r>
        <w:rPr>
          <w:noProof/>
        </w:rPr>
        <w:drawing>
          <wp:inline distT="0" distB="0" distL="0" distR="0" wp14:anchorId="165A60EA" wp14:editId="3EE8AC6C">
            <wp:extent cx="2265742" cy="2606040"/>
            <wp:effectExtent l="0" t="0" r="127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345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7B9AA6" wp14:editId="4472B394">
            <wp:extent cx="1744980" cy="259343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268" cy="264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212AE" w14:textId="72505A1D" w:rsidR="002B0462" w:rsidRPr="000E0BF4" w:rsidRDefault="00546DC9" w:rsidP="00CA3CC8">
      <w:pPr>
        <w:pStyle w:val="Kuvaotsikko"/>
        <w:jc w:val="both"/>
        <w:rPr>
          <w:lang w:val="de-DE"/>
        </w:rPr>
      </w:pPr>
      <w:bookmarkStart w:id="1" w:name="_Ref97122569"/>
      <w:r>
        <w:rPr>
          <w:lang w:val="de"/>
        </w:rPr>
        <w:t xml:space="preserve">Abbildung </w:t>
      </w:r>
      <w:r>
        <w:rPr>
          <w:lang w:val="de"/>
        </w:rPr>
        <w:fldChar w:fldCharType="begin"/>
      </w:r>
      <w:r>
        <w:rPr>
          <w:lang w:val="de"/>
        </w:rPr>
        <w:instrText>SEQ Figure \* ARABIC</w:instrText>
      </w:r>
      <w:r>
        <w:rPr>
          <w:lang w:val="de"/>
        </w:rPr>
        <w:fldChar w:fldCharType="separate"/>
      </w:r>
      <w:r w:rsidR="00C50DAA">
        <w:rPr>
          <w:noProof/>
          <w:lang w:val="de"/>
        </w:rPr>
        <w:t>1</w:t>
      </w:r>
      <w:r>
        <w:rPr>
          <w:lang w:val="de"/>
        </w:rPr>
        <w:fldChar w:fldCharType="end"/>
      </w:r>
      <w:bookmarkEnd w:id="1"/>
      <w:r w:rsidR="00F70853">
        <w:rPr>
          <w:lang w:val="de"/>
        </w:rPr>
        <w:t xml:space="preserve">: Beispielansicht einer Frequenzmessung in den Apps phyphox </w:t>
      </w:r>
      <w:r w:rsidR="00B4461F">
        <w:rPr>
          <w:lang w:val="de"/>
        </w:rPr>
        <w:t>(</w:t>
      </w:r>
      <w:r w:rsidR="008A2616">
        <w:rPr>
          <w:lang w:val="de"/>
        </w:rPr>
        <w:t>links</w:t>
      </w:r>
      <w:r w:rsidR="00F70853">
        <w:rPr>
          <w:lang w:val="de"/>
        </w:rPr>
        <w:t>) und Physics Toolbox Sensor Suite (</w:t>
      </w:r>
      <w:r w:rsidR="008A2616">
        <w:rPr>
          <w:lang w:val="de"/>
        </w:rPr>
        <w:t>rechts</w:t>
      </w:r>
      <w:r w:rsidR="00F70853">
        <w:rPr>
          <w:lang w:val="de"/>
        </w:rPr>
        <w:t>).</w:t>
      </w:r>
    </w:p>
    <w:p w14:paraId="53716344" w14:textId="61E833D2" w:rsidR="00D147FA" w:rsidRPr="000E0BF4" w:rsidRDefault="00711E1E" w:rsidP="00CA3CC8">
      <w:pPr>
        <w:jc w:val="both"/>
        <w:rPr>
          <w:lang w:val="de-DE"/>
        </w:rPr>
      </w:pPr>
      <w:r>
        <w:rPr>
          <w:lang w:val="de"/>
        </w:rPr>
        <w:t xml:space="preserve">Für dieses Experiment </w:t>
      </w:r>
      <w:r w:rsidR="00B4461F">
        <w:rPr>
          <w:lang w:val="de"/>
        </w:rPr>
        <w:t>muss</w:t>
      </w:r>
      <w:r>
        <w:rPr>
          <w:lang w:val="de"/>
        </w:rPr>
        <w:t xml:space="preserve"> die Frequenz eines Tones </w:t>
      </w:r>
      <w:r w:rsidR="00B4461F">
        <w:rPr>
          <w:lang w:val="de"/>
        </w:rPr>
        <w:t>gemessen werden</w:t>
      </w:r>
      <w:r>
        <w:rPr>
          <w:lang w:val="de"/>
        </w:rPr>
        <w:t xml:space="preserve">. Es gibt viele Möglichkeiten, dies zu tun, in </w:t>
      </w:r>
      <w:r w:rsidR="008B1FF8">
        <w:rPr>
          <w:lang w:val="de"/>
        </w:rPr>
        <w:fldChar w:fldCharType="begin"/>
      </w:r>
      <w:r w:rsidR="008B1FF8">
        <w:rPr>
          <w:lang w:val="de"/>
        </w:rPr>
        <w:instrText xml:space="preserve"> REF _Ref97122569 \h </w:instrText>
      </w:r>
      <w:r w:rsidR="008B1FF8">
        <w:rPr>
          <w:lang w:val="de"/>
        </w:rPr>
      </w:r>
      <w:r w:rsidR="00CA3CC8">
        <w:rPr>
          <w:lang w:val="de"/>
        </w:rPr>
        <w:instrText xml:space="preserve"> \* MERGEFORMAT </w:instrText>
      </w:r>
      <w:r w:rsidR="008B1FF8">
        <w:rPr>
          <w:lang w:val="de"/>
        </w:rPr>
        <w:fldChar w:fldCharType="separate"/>
      </w:r>
      <w:r w:rsidR="00C50DAA">
        <w:rPr>
          <w:lang w:val="de"/>
        </w:rPr>
        <w:t xml:space="preserve">Abbildung </w:t>
      </w:r>
      <w:r w:rsidR="00C50DAA">
        <w:rPr>
          <w:noProof/>
          <w:lang w:val="de"/>
        </w:rPr>
        <w:t>1</w:t>
      </w:r>
      <w:r w:rsidR="008B1FF8">
        <w:rPr>
          <w:lang w:val="de"/>
        </w:rPr>
        <w:fldChar w:fldCharType="end"/>
      </w:r>
      <w:r w:rsidR="00B677D3">
        <w:rPr>
          <w:lang w:val="de"/>
        </w:rPr>
        <w:t xml:space="preserve"> </w:t>
      </w:r>
      <w:r w:rsidR="00B4461F">
        <w:rPr>
          <w:lang w:val="de"/>
        </w:rPr>
        <w:t>werden</w:t>
      </w:r>
      <w:r w:rsidR="00B677D3">
        <w:rPr>
          <w:lang w:val="de"/>
        </w:rPr>
        <w:t xml:space="preserve"> die Tools </w:t>
      </w:r>
      <w:r w:rsidR="00B4461F">
        <w:rPr>
          <w:lang w:val="de"/>
        </w:rPr>
        <w:t>„</w:t>
      </w:r>
      <w:r w:rsidR="00B677D3">
        <w:rPr>
          <w:lang w:val="de"/>
        </w:rPr>
        <w:t xml:space="preserve">Audio </w:t>
      </w:r>
      <w:r w:rsidR="00B4461F">
        <w:rPr>
          <w:lang w:val="de"/>
        </w:rPr>
        <w:t>Autokorrelation“</w:t>
      </w:r>
      <w:r w:rsidR="00B677D3">
        <w:rPr>
          <w:lang w:val="de"/>
        </w:rPr>
        <w:t xml:space="preserve"> aus der App phyphox und </w:t>
      </w:r>
      <w:r w:rsidR="00B4461F">
        <w:rPr>
          <w:lang w:val="de"/>
        </w:rPr>
        <w:t>„</w:t>
      </w:r>
      <w:r w:rsidR="00B677D3">
        <w:rPr>
          <w:lang w:val="de"/>
        </w:rPr>
        <w:t>Spectrum Analyzer</w:t>
      </w:r>
      <w:r w:rsidR="00B4461F">
        <w:rPr>
          <w:lang w:val="de"/>
        </w:rPr>
        <w:t>“</w:t>
      </w:r>
      <w:r w:rsidR="00B677D3">
        <w:rPr>
          <w:lang w:val="de"/>
        </w:rPr>
        <w:t xml:space="preserve"> aus der App </w:t>
      </w:r>
      <w:r w:rsidR="0060058A">
        <w:rPr>
          <w:lang w:val="de"/>
        </w:rPr>
        <w:t>Physics Toolbox Sensor Suite gezeigt.</w:t>
      </w:r>
      <w:r w:rsidR="00360880">
        <w:rPr>
          <w:lang w:val="de"/>
        </w:rPr>
        <w:t xml:space="preserve"> </w:t>
      </w:r>
      <w:r w:rsidR="0060058A">
        <w:rPr>
          <w:lang w:val="de"/>
        </w:rPr>
        <w:t xml:space="preserve"> Wenn man die Messung startet, geben diese </w:t>
      </w:r>
      <w:r w:rsidR="00B4461F">
        <w:rPr>
          <w:lang w:val="de"/>
        </w:rPr>
        <w:t>Tools</w:t>
      </w:r>
      <w:r w:rsidR="0060058A">
        <w:rPr>
          <w:lang w:val="de"/>
        </w:rPr>
        <w:t xml:space="preserve"> einen numerischen Wert der </w:t>
      </w:r>
      <w:r w:rsidR="002C4293">
        <w:rPr>
          <w:lang w:val="de"/>
        </w:rPr>
        <w:t xml:space="preserve">Frequenz </w:t>
      </w:r>
      <w:r w:rsidR="0001729B">
        <w:rPr>
          <w:lang w:val="de"/>
        </w:rPr>
        <w:t>des</w:t>
      </w:r>
      <w:r w:rsidR="002C4293">
        <w:rPr>
          <w:lang w:val="de"/>
        </w:rPr>
        <w:t xml:space="preserve"> dominanten Peaks im Spektrum an.</w:t>
      </w:r>
      <w:r w:rsidR="00360880">
        <w:rPr>
          <w:lang w:val="de"/>
        </w:rPr>
        <w:t xml:space="preserve"> </w:t>
      </w:r>
      <w:r w:rsidR="00ED35F9">
        <w:rPr>
          <w:lang w:val="de"/>
        </w:rPr>
        <w:t xml:space="preserve"> Beachten Sie, dass es </w:t>
      </w:r>
      <w:r w:rsidR="00B4461F">
        <w:rPr>
          <w:lang w:val="de"/>
        </w:rPr>
        <w:t>bei</w:t>
      </w:r>
      <w:r w:rsidR="00ED35F9">
        <w:rPr>
          <w:lang w:val="de"/>
        </w:rPr>
        <w:t xml:space="preserve"> diesen Tools geringfügige Unterschiede zwischen beispielsweise der Android- und iPhone-Version der Apps geben kann.</w:t>
      </w:r>
      <w:r w:rsidR="0037588A">
        <w:rPr>
          <w:lang w:val="de"/>
        </w:rPr>
        <w:t xml:space="preserve"> Standardmäßig </w:t>
      </w:r>
      <w:r w:rsidR="00342BC5">
        <w:rPr>
          <w:lang w:val="de"/>
        </w:rPr>
        <w:t xml:space="preserve">erhalten die </w:t>
      </w:r>
      <w:r w:rsidR="00B4461F">
        <w:rPr>
          <w:lang w:val="de"/>
        </w:rPr>
        <w:t>Studierenden</w:t>
      </w:r>
      <w:r w:rsidR="00342BC5">
        <w:rPr>
          <w:lang w:val="de"/>
        </w:rPr>
        <w:t xml:space="preserve"> diese Informationen nicht, </w:t>
      </w:r>
      <w:r w:rsidR="00B4461F">
        <w:rPr>
          <w:lang w:val="de"/>
        </w:rPr>
        <w:t>stattdessen</w:t>
      </w:r>
      <w:r w:rsidR="00342BC5">
        <w:rPr>
          <w:lang w:val="de"/>
        </w:rPr>
        <w:t xml:space="preserve"> sollten</w:t>
      </w:r>
      <w:r w:rsidR="00B4461F">
        <w:rPr>
          <w:lang w:val="de"/>
        </w:rPr>
        <w:t xml:space="preserve"> sie</w:t>
      </w:r>
      <w:r w:rsidR="00342BC5">
        <w:rPr>
          <w:lang w:val="de"/>
        </w:rPr>
        <w:t xml:space="preserve"> selbst suchen und entscheiden, welches Werkzeug </w:t>
      </w:r>
      <w:r w:rsidR="00B4461F">
        <w:rPr>
          <w:lang w:val="de"/>
        </w:rPr>
        <w:t xml:space="preserve">sich </w:t>
      </w:r>
      <w:r w:rsidR="005B55CE">
        <w:rPr>
          <w:lang w:val="de"/>
        </w:rPr>
        <w:t xml:space="preserve">am besten </w:t>
      </w:r>
      <w:r w:rsidR="00B4461F">
        <w:rPr>
          <w:lang w:val="de"/>
        </w:rPr>
        <w:t>für diese</w:t>
      </w:r>
      <w:r w:rsidR="00342BC5">
        <w:rPr>
          <w:lang w:val="de"/>
        </w:rPr>
        <w:t xml:space="preserve"> Messung </w:t>
      </w:r>
      <w:r w:rsidR="00B4461F">
        <w:rPr>
          <w:lang w:val="de"/>
        </w:rPr>
        <w:t>eignet</w:t>
      </w:r>
      <w:r w:rsidR="00342BC5">
        <w:rPr>
          <w:lang w:val="de"/>
        </w:rPr>
        <w:t>.</w:t>
      </w:r>
    </w:p>
    <w:p w14:paraId="0EEF1B4D" w14:textId="05F6FF6A" w:rsidR="005617D3" w:rsidRPr="000E0BF4" w:rsidRDefault="005617D3" w:rsidP="00CA3CC8">
      <w:pPr>
        <w:jc w:val="both"/>
        <w:rPr>
          <w:lang w:val="de-DE"/>
        </w:rPr>
      </w:pPr>
    </w:p>
    <w:p w14:paraId="7DEF4130" w14:textId="77777777" w:rsidR="005617D3" w:rsidRPr="000E0BF4" w:rsidRDefault="005617D3" w:rsidP="00CA3CC8">
      <w:pPr>
        <w:pStyle w:val="Otsikko2"/>
        <w:jc w:val="both"/>
        <w:rPr>
          <w:lang w:val="de-DE"/>
        </w:rPr>
      </w:pPr>
      <w:r>
        <w:rPr>
          <w:lang w:val="de"/>
        </w:rPr>
        <w:t>Schlüsselfragen für den experimentellen Prozess</w:t>
      </w:r>
    </w:p>
    <w:p w14:paraId="5EA4CEA3" w14:textId="368F41E5" w:rsidR="005617D3" w:rsidRPr="000E0BF4" w:rsidRDefault="00274894" w:rsidP="00CA3CC8">
      <w:pPr>
        <w:jc w:val="both"/>
        <w:rPr>
          <w:lang w:val="de-DE"/>
        </w:rPr>
      </w:pPr>
      <w:r>
        <w:rPr>
          <w:lang w:val="de"/>
        </w:rPr>
        <w:t xml:space="preserve">Um den Experimentierprozess zu strukturieren, kann man den </w:t>
      </w:r>
      <w:r w:rsidR="00B4461F">
        <w:rPr>
          <w:lang w:val="de"/>
        </w:rPr>
        <w:t>Studierenden</w:t>
      </w:r>
      <w:r>
        <w:rPr>
          <w:lang w:val="de"/>
        </w:rPr>
        <w:t xml:space="preserve"> </w:t>
      </w:r>
      <w:r w:rsidR="00B4461F">
        <w:rPr>
          <w:lang w:val="de"/>
        </w:rPr>
        <w:t>eine</w:t>
      </w:r>
      <w:r w:rsidR="001017F4">
        <w:rPr>
          <w:lang w:val="de"/>
        </w:rPr>
        <w:t xml:space="preserve"> Liste der </w:t>
      </w:r>
      <w:r w:rsidR="00F56647">
        <w:rPr>
          <w:lang w:val="de"/>
        </w:rPr>
        <w:t xml:space="preserve">folgenden orientierenden Fragen und </w:t>
      </w:r>
      <w:r w:rsidR="00B4461F">
        <w:rPr>
          <w:lang w:val="de"/>
        </w:rPr>
        <w:t>Aufgaben oder einen Teil derselben</w:t>
      </w:r>
      <w:r w:rsidR="00F56647">
        <w:rPr>
          <w:lang w:val="de"/>
        </w:rPr>
        <w:t xml:space="preserve"> </w:t>
      </w:r>
      <w:r w:rsidR="00B4461F">
        <w:rPr>
          <w:lang w:val="de"/>
        </w:rPr>
        <w:t>zur Verfügung stellen</w:t>
      </w:r>
      <w:r w:rsidR="00F56647">
        <w:rPr>
          <w:lang w:val="de"/>
        </w:rPr>
        <w:t>:</w:t>
      </w:r>
    </w:p>
    <w:p w14:paraId="73983B52" w14:textId="16E64595" w:rsidR="005617D3" w:rsidRDefault="005617D3" w:rsidP="00CA3CC8">
      <w:pPr>
        <w:pStyle w:val="Luettelokappale"/>
        <w:numPr>
          <w:ilvl w:val="0"/>
          <w:numId w:val="5"/>
        </w:numPr>
        <w:jc w:val="both"/>
      </w:pPr>
      <w:r>
        <w:rPr>
          <w:lang w:val="de"/>
        </w:rPr>
        <w:t xml:space="preserve">Welche Tools in Ihrer </w:t>
      </w:r>
      <w:r w:rsidR="00B4461F">
        <w:rPr>
          <w:lang w:val="de"/>
        </w:rPr>
        <w:t xml:space="preserve">App </w:t>
      </w:r>
      <w:r>
        <w:rPr>
          <w:lang w:val="de"/>
        </w:rPr>
        <w:t>eignen sich für die erforderlichen Messungen? Was sind die</w:t>
      </w:r>
      <w:r w:rsidR="00B4461F">
        <w:rPr>
          <w:lang w:val="de"/>
        </w:rPr>
        <w:t xml:space="preserve"> jeweiligen</w:t>
      </w:r>
      <w:r>
        <w:rPr>
          <w:lang w:val="de"/>
        </w:rPr>
        <w:t xml:space="preserve"> Vor- und Nachteile </w:t>
      </w:r>
      <w:r w:rsidR="00B4461F">
        <w:rPr>
          <w:lang w:val="de"/>
        </w:rPr>
        <w:t>der</w:t>
      </w:r>
      <w:r>
        <w:rPr>
          <w:lang w:val="de"/>
        </w:rPr>
        <w:t xml:space="preserve"> Tools?</w:t>
      </w:r>
    </w:p>
    <w:p w14:paraId="35DC16A8" w14:textId="377CA255" w:rsidR="494F3EBB" w:rsidRPr="000E0BF4" w:rsidRDefault="494F3EBB" w:rsidP="00CA3CC8">
      <w:pPr>
        <w:pStyle w:val="Luettelokappale"/>
        <w:numPr>
          <w:ilvl w:val="0"/>
          <w:numId w:val="5"/>
        </w:numPr>
        <w:jc w:val="both"/>
        <w:rPr>
          <w:lang w:val="de-DE"/>
        </w:rPr>
      </w:pPr>
      <w:r>
        <w:rPr>
          <w:lang w:val="de"/>
        </w:rPr>
        <w:t>Welche Variablen können Sie in Ihrem Setup ändern und welche Variablen müssen konstant sein?</w:t>
      </w:r>
    </w:p>
    <w:p w14:paraId="3228BF83" w14:textId="0229E991" w:rsidR="005617D3" w:rsidRPr="000E0BF4" w:rsidRDefault="005617D3" w:rsidP="00CA3CC8">
      <w:pPr>
        <w:pStyle w:val="Luettelokappale"/>
        <w:numPr>
          <w:ilvl w:val="0"/>
          <w:numId w:val="5"/>
        </w:numPr>
        <w:jc w:val="both"/>
        <w:rPr>
          <w:lang w:val="de-DE"/>
        </w:rPr>
      </w:pPr>
      <w:r>
        <w:rPr>
          <w:lang w:val="de"/>
        </w:rPr>
        <w:t xml:space="preserve">Wie viele Datenpunkte können mit </w:t>
      </w:r>
      <w:r w:rsidR="00B4461F">
        <w:rPr>
          <w:lang w:val="de"/>
        </w:rPr>
        <w:t>dem</w:t>
      </w:r>
      <w:r>
        <w:rPr>
          <w:lang w:val="de"/>
        </w:rPr>
        <w:t xml:space="preserve"> verfügbaren </w:t>
      </w:r>
      <w:r w:rsidR="00B4461F">
        <w:rPr>
          <w:lang w:val="de"/>
        </w:rPr>
        <w:t>Equipment</w:t>
      </w:r>
      <w:r>
        <w:rPr>
          <w:lang w:val="de"/>
        </w:rPr>
        <w:t xml:space="preserve"> sinnvoll gesammelt werden?</w:t>
      </w:r>
    </w:p>
    <w:p w14:paraId="6047CED8" w14:textId="4FE0C401" w:rsidR="005617D3" w:rsidRDefault="005617D3" w:rsidP="00CA3CC8">
      <w:pPr>
        <w:pStyle w:val="Luettelokappale"/>
        <w:numPr>
          <w:ilvl w:val="0"/>
          <w:numId w:val="5"/>
        </w:numPr>
        <w:jc w:val="both"/>
      </w:pPr>
      <w:r>
        <w:rPr>
          <w:lang w:val="de"/>
        </w:rPr>
        <w:t xml:space="preserve">Beeinflusst die Art und Weise, wie Sie auf die Flasche </w:t>
      </w:r>
      <w:r w:rsidR="00B4461F">
        <w:rPr>
          <w:lang w:val="de"/>
        </w:rPr>
        <w:t>pusten</w:t>
      </w:r>
      <w:r>
        <w:rPr>
          <w:lang w:val="de"/>
        </w:rPr>
        <w:t>, die Frequenz? Welche Bedeutung hat das für Ihr Versuchsdesign?</w:t>
      </w:r>
    </w:p>
    <w:p w14:paraId="3DD70E88" w14:textId="4FA7774A" w:rsidR="005617D3" w:rsidRPr="000E0BF4" w:rsidRDefault="002A0F49" w:rsidP="00CA3CC8">
      <w:pPr>
        <w:pStyle w:val="Luettelokappale"/>
        <w:numPr>
          <w:ilvl w:val="0"/>
          <w:numId w:val="5"/>
        </w:numPr>
        <w:jc w:val="both"/>
        <w:rPr>
          <w:lang w:val="de-DE"/>
        </w:rPr>
      </w:pPr>
      <w:r>
        <w:rPr>
          <w:lang w:val="de"/>
        </w:rPr>
        <w:t>Wo endet der Flaschenhals und wo beginnt der Flaschenhohlraum? Wie können Sie dies in Ihrer Analyse berücksichtigen?</w:t>
      </w:r>
    </w:p>
    <w:p w14:paraId="66983443" w14:textId="62BB69C7" w:rsidR="00291E80" w:rsidRPr="000E0BF4" w:rsidRDefault="00B11E15" w:rsidP="00CA3CC8">
      <w:pPr>
        <w:pStyle w:val="Luettelokappale"/>
        <w:numPr>
          <w:ilvl w:val="0"/>
          <w:numId w:val="5"/>
        </w:numPr>
        <w:jc w:val="both"/>
        <w:rPr>
          <w:lang w:val="de-DE"/>
        </w:rPr>
      </w:pPr>
      <w:r>
        <w:rPr>
          <w:lang w:val="de"/>
        </w:rPr>
        <w:t>Denken Sie daran, die Messunsicherheit abzuschätzen.</w:t>
      </w:r>
    </w:p>
    <w:p w14:paraId="7E555DFB" w14:textId="77777777" w:rsidR="005617D3" w:rsidRPr="000E0BF4" w:rsidRDefault="005617D3" w:rsidP="00CA3CC8">
      <w:pPr>
        <w:pStyle w:val="Luettelokappale"/>
        <w:numPr>
          <w:ilvl w:val="0"/>
          <w:numId w:val="5"/>
        </w:numPr>
        <w:jc w:val="both"/>
        <w:rPr>
          <w:lang w:val="de-DE"/>
        </w:rPr>
      </w:pPr>
      <w:r>
        <w:rPr>
          <w:lang w:val="de"/>
        </w:rPr>
        <w:t>Wie lotet man die Grenzen der Modelle aus?</w:t>
      </w:r>
    </w:p>
    <w:p w14:paraId="2C035993" w14:textId="39359AC4" w:rsidR="005617D3" w:rsidRPr="000E0BF4" w:rsidRDefault="005617D3" w:rsidP="00CA3CC8">
      <w:pPr>
        <w:pStyle w:val="Luettelokappale"/>
        <w:numPr>
          <w:ilvl w:val="0"/>
          <w:numId w:val="5"/>
        </w:numPr>
        <w:jc w:val="both"/>
        <w:rPr>
          <w:lang w:val="de-DE"/>
        </w:rPr>
      </w:pPr>
      <w:r>
        <w:rPr>
          <w:lang w:val="de"/>
        </w:rPr>
        <w:t xml:space="preserve">Wie kann man die Daten so darstellen, dass ein Vergleich mit den Modellvorhersagen am </w:t>
      </w:r>
      <w:r w:rsidR="00B4461F">
        <w:rPr>
          <w:lang w:val="de"/>
        </w:rPr>
        <w:t>einfachsten</w:t>
      </w:r>
      <w:r>
        <w:rPr>
          <w:lang w:val="de"/>
        </w:rPr>
        <w:t xml:space="preserve"> ist?</w:t>
      </w:r>
    </w:p>
    <w:p w14:paraId="7EBE6EAE" w14:textId="563BCA1C" w:rsidR="00C23811" w:rsidRPr="000E0BF4" w:rsidRDefault="0046445B" w:rsidP="00CA3CC8">
      <w:pPr>
        <w:pStyle w:val="Luettelokappale"/>
        <w:numPr>
          <w:ilvl w:val="0"/>
          <w:numId w:val="5"/>
        </w:numPr>
        <w:jc w:val="both"/>
        <w:rPr>
          <w:lang w:val="de-DE"/>
        </w:rPr>
      </w:pPr>
      <w:r>
        <w:rPr>
          <w:lang w:val="de"/>
        </w:rPr>
        <w:t xml:space="preserve">Was sind die wichtigen Teile dieses Experiments, </w:t>
      </w:r>
      <w:r w:rsidR="00B4461F">
        <w:rPr>
          <w:lang w:val="de"/>
        </w:rPr>
        <w:t>die</w:t>
      </w:r>
      <w:r>
        <w:rPr>
          <w:lang w:val="de"/>
        </w:rPr>
        <w:t xml:space="preserve"> dem Publikum der Präsentation / des </w:t>
      </w:r>
      <w:r w:rsidR="00ED300B">
        <w:rPr>
          <w:lang w:val="de"/>
        </w:rPr>
        <w:t>Berichts</w:t>
      </w:r>
      <w:r w:rsidR="00C23811">
        <w:rPr>
          <w:lang w:val="de"/>
        </w:rPr>
        <w:t xml:space="preserve"> </w:t>
      </w:r>
      <w:r w:rsidR="00B4461F">
        <w:rPr>
          <w:lang w:val="de"/>
        </w:rPr>
        <w:t>vermittelt werden sollten</w:t>
      </w:r>
      <w:r>
        <w:rPr>
          <w:lang w:val="de"/>
        </w:rPr>
        <w:t>?</w:t>
      </w:r>
    </w:p>
    <w:p w14:paraId="605D1CE4" w14:textId="324F5F4A" w:rsidR="002B6351" w:rsidRPr="000E0BF4" w:rsidRDefault="00383B0A" w:rsidP="00CA3CC8">
      <w:pPr>
        <w:pStyle w:val="Luettelokappale"/>
        <w:numPr>
          <w:ilvl w:val="0"/>
          <w:numId w:val="5"/>
        </w:numPr>
        <w:jc w:val="both"/>
        <w:rPr>
          <w:lang w:val="de-DE"/>
        </w:rPr>
      </w:pPr>
      <w:r>
        <w:rPr>
          <w:lang w:val="de"/>
        </w:rPr>
        <w:lastRenderedPageBreak/>
        <w:t xml:space="preserve">Denken Sie über andere Möglichkeiten nach, die Modelle zu testen und </w:t>
      </w:r>
      <w:r w:rsidR="00B4461F">
        <w:rPr>
          <w:lang w:val="de"/>
        </w:rPr>
        <w:t xml:space="preserve">darüber, </w:t>
      </w:r>
      <w:r>
        <w:rPr>
          <w:lang w:val="de"/>
        </w:rPr>
        <w:t xml:space="preserve">ob es andere digitale / analoge Messgeräte gibt, die </w:t>
      </w:r>
      <w:r w:rsidR="00D91572">
        <w:rPr>
          <w:lang w:val="de"/>
        </w:rPr>
        <w:t>für</w:t>
      </w:r>
      <w:r>
        <w:rPr>
          <w:lang w:val="de"/>
        </w:rPr>
        <w:t xml:space="preserve"> dieses Experiment</w:t>
      </w:r>
      <w:r w:rsidR="002B6351">
        <w:rPr>
          <w:lang w:val="de"/>
        </w:rPr>
        <w:t xml:space="preserve"> verwendet werden könnten.</w:t>
      </w:r>
    </w:p>
    <w:p w14:paraId="747FDD38" w14:textId="6ECA4244" w:rsidR="005617D3" w:rsidRPr="000E0BF4" w:rsidRDefault="005617D3" w:rsidP="00CA3CC8">
      <w:pPr>
        <w:pStyle w:val="Luettelokappale"/>
        <w:numPr>
          <w:ilvl w:val="0"/>
          <w:numId w:val="5"/>
        </w:numPr>
        <w:jc w:val="both"/>
        <w:rPr>
          <w:lang w:val="de-DE"/>
        </w:rPr>
      </w:pPr>
      <w:r>
        <w:rPr>
          <w:lang w:val="de"/>
        </w:rPr>
        <w:t>Denken Sie darüber nach, was Sie in diesem Experiment gelernt haben. Welche Bedeutung hat dies für Ihr weiteres Studium und Ihre spätere berufliche Tätigkeit?</w:t>
      </w:r>
    </w:p>
    <w:p w14:paraId="7566E3CA" w14:textId="77777777" w:rsidR="008E1399" w:rsidRPr="000E0BF4" w:rsidRDefault="008E1399" w:rsidP="00CA3CC8">
      <w:pPr>
        <w:pStyle w:val="Otsikko2"/>
        <w:jc w:val="both"/>
        <w:rPr>
          <w:lang w:val="de-DE"/>
        </w:rPr>
      </w:pPr>
    </w:p>
    <w:p w14:paraId="76028424" w14:textId="5665AA5C" w:rsidR="16763406" w:rsidRPr="000E0BF4" w:rsidRDefault="00B4461F" w:rsidP="00CA3CC8">
      <w:pPr>
        <w:pStyle w:val="Otsikko2"/>
        <w:jc w:val="both"/>
        <w:rPr>
          <w:rFonts w:ascii="Calibri Light" w:hAnsi="Calibri Light"/>
          <w:lang w:val="de-DE"/>
        </w:rPr>
      </w:pPr>
      <w:r>
        <w:rPr>
          <w:lang w:val="de"/>
        </w:rPr>
        <w:t>Beispielhafter Verlauf</w:t>
      </w:r>
      <w:r w:rsidR="00D70C66">
        <w:rPr>
          <w:lang w:val="de"/>
        </w:rPr>
        <w:t xml:space="preserve"> mit </w:t>
      </w:r>
      <w:r w:rsidR="00E33178">
        <w:rPr>
          <w:lang w:val="de"/>
        </w:rPr>
        <w:t>Kommentaren und Vorschlägen</w:t>
      </w:r>
    </w:p>
    <w:p w14:paraId="39D1DDBB" w14:textId="69090AB5" w:rsidR="00793110" w:rsidRPr="000E0BF4" w:rsidRDefault="00B6654A" w:rsidP="00CA3CC8">
      <w:pPr>
        <w:jc w:val="both"/>
        <w:rPr>
          <w:lang w:val="de-DE"/>
        </w:rPr>
      </w:pPr>
      <w:r>
        <w:rPr>
          <w:lang w:val="de"/>
        </w:rPr>
        <w:t>In seiner Grundform ist das Experiment recht offen und es bleibt noch viel Entscheidungsf</w:t>
      </w:r>
      <w:r w:rsidR="00B4461F">
        <w:rPr>
          <w:lang w:val="de"/>
        </w:rPr>
        <w:t>reiheit</w:t>
      </w:r>
      <w:r>
        <w:rPr>
          <w:lang w:val="de"/>
        </w:rPr>
        <w:t xml:space="preserve"> für d</w:t>
      </w:r>
      <w:r w:rsidR="00B4461F">
        <w:rPr>
          <w:lang w:val="de"/>
        </w:rPr>
        <w:t>ie Studierenden</w:t>
      </w:r>
      <w:r>
        <w:rPr>
          <w:lang w:val="de"/>
        </w:rPr>
        <w:t xml:space="preserve">. Im Folgenden werden wir mögliche Richtungen skizzieren, die das Experiment einschlagen </w:t>
      </w:r>
      <w:r w:rsidR="00B4461F">
        <w:rPr>
          <w:lang w:val="de"/>
        </w:rPr>
        <w:t xml:space="preserve">kann, sowie </w:t>
      </w:r>
      <w:r w:rsidR="00F44782">
        <w:rPr>
          <w:lang w:val="de"/>
        </w:rPr>
        <w:t xml:space="preserve">einige häufige Probleme, mit denen die </w:t>
      </w:r>
      <w:r w:rsidR="00B4461F">
        <w:rPr>
          <w:lang w:val="de"/>
        </w:rPr>
        <w:t xml:space="preserve">Studierenden </w:t>
      </w:r>
      <w:r w:rsidR="00F44782">
        <w:rPr>
          <w:lang w:val="de"/>
        </w:rPr>
        <w:t xml:space="preserve">in unseren </w:t>
      </w:r>
      <w:r w:rsidR="00760333">
        <w:rPr>
          <w:lang w:val="de"/>
        </w:rPr>
        <w:t>Pilotläufen</w:t>
      </w:r>
      <w:r w:rsidR="00793110">
        <w:rPr>
          <w:lang w:val="de"/>
        </w:rPr>
        <w:t xml:space="preserve"> konfrontiert waren.</w:t>
      </w:r>
    </w:p>
    <w:p w14:paraId="36B00913" w14:textId="1B5B329E" w:rsidR="00EE0D4D" w:rsidRPr="000E0BF4" w:rsidRDefault="00EE0D4D" w:rsidP="00CA3CC8">
      <w:pPr>
        <w:pStyle w:val="Otsikko4"/>
        <w:jc w:val="both"/>
        <w:rPr>
          <w:lang w:val="de-DE"/>
        </w:rPr>
      </w:pPr>
      <w:r>
        <w:rPr>
          <w:lang w:val="de"/>
        </w:rPr>
        <w:t>Mögliche Übungen vor dem Labor</w:t>
      </w:r>
    </w:p>
    <w:p w14:paraId="7BE9F0DE" w14:textId="5BED36EC" w:rsidR="00EE0D4D" w:rsidRPr="000E0BF4" w:rsidRDefault="00B4461F" w:rsidP="00CA3CC8">
      <w:pPr>
        <w:jc w:val="both"/>
        <w:rPr>
          <w:lang w:val="de-DE"/>
        </w:rPr>
      </w:pPr>
      <w:r>
        <w:rPr>
          <w:lang w:val="de"/>
        </w:rPr>
        <w:t>Lehrende</w:t>
      </w:r>
      <w:r w:rsidR="00DD7F15">
        <w:rPr>
          <w:lang w:val="de"/>
        </w:rPr>
        <w:t xml:space="preserve"> können die Herleitung der Helmholtz-Resonanzfrequenz (siehe unten) als</w:t>
      </w:r>
      <w:r>
        <w:rPr>
          <w:lang w:val="de"/>
        </w:rPr>
        <w:t xml:space="preserve"> vorbereitende Übung</w:t>
      </w:r>
      <w:r w:rsidR="00041065">
        <w:rPr>
          <w:lang w:val="de"/>
        </w:rPr>
        <w:t xml:space="preserve"> </w:t>
      </w:r>
      <w:r>
        <w:rPr>
          <w:lang w:val="de"/>
        </w:rPr>
        <w:t>nutzen</w:t>
      </w:r>
      <w:r w:rsidR="00041065">
        <w:rPr>
          <w:lang w:val="de"/>
        </w:rPr>
        <w:t xml:space="preserve">. </w:t>
      </w:r>
      <w:r>
        <w:rPr>
          <w:lang w:val="de"/>
        </w:rPr>
        <w:t>Ebenso könnte ein</w:t>
      </w:r>
      <w:r w:rsidR="00041065">
        <w:rPr>
          <w:lang w:val="de"/>
        </w:rPr>
        <w:t xml:space="preserve"> schriftliche</w:t>
      </w:r>
      <w:r>
        <w:rPr>
          <w:lang w:val="de"/>
        </w:rPr>
        <w:t xml:space="preserve">r </w:t>
      </w:r>
      <w:r w:rsidR="00041065">
        <w:rPr>
          <w:lang w:val="de"/>
        </w:rPr>
        <w:t xml:space="preserve">Experimentierplan von den </w:t>
      </w:r>
      <w:r>
        <w:rPr>
          <w:lang w:val="de"/>
        </w:rPr>
        <w:t>Studierenden</w:t>
      </w:r>
      <w:r w:rsidR="00041065">
        <w:rPr>
          <w:lang w:val="de"/>
        </w:rPr>
        <w:t xml:space="preserve"> </w:t>
      </w:r>
      <w:r>
        <w:rPr>
          <w:lang w:val="de"/>
        </w:rPr>
        <w:t>im Voraus verlangt werden</w:t>
      </w:r>
      <w:r w:rsidR="00041065">
        <w:rPr>
          <w:lang w:val="de"/>
        </w:rPr>
        <w:t xml:space="preserve">, um </w:t>
      </w:r>
      <w:r>
        <w:rPr>
          <w:lang w:val="de"/>
        </w:rPr>
        <w:t xml:space="preserve">bereits </w:t>
      </w:r>
      <w:r w:rsidR="00041065">
        <w:rPr>
          <w:lang w:val="de"/>
        </w:rPr>
        <w:t>vor dem</w:t>
      </w:r>
      <w:r>
        <w:rPr>
          <w:lang w:val="de"/>
        </w:rPr>
        <w:t xml:space="preserve"> eigentlichen</w:t>
      </w:r>
      <w:r w:rsidR="00041065">
        <w:rPr>
          <w:lang w:val="de"/>
        </w:rPr>
        <w:t xml:space="preserve"> Experimentieren Feedback geben zu können. </w:t>
      </w:r>
    </w:p>
    <w:p w14:paraId="0F4632E0" w14:textId="066C576E" w:rsidR="009A644E" w:rsidRPr="000E0BF4" w:rsidRDefault="00095A97" w:rsidP="00CA3CC8">
      <w:pPr>
        <w:pStyle w:val="Otsikko4"/>
        <w:jc w:val="both"/>
        <w:rPr>
          <w:lang w:val="de-DE"/>
        </w:rPr>
      </w:pPr>
      <w:r>
        <w:rPr>
          <w:lang w:val="de"/>
        </w:rPr>
        <w:t>Planung</w:t>
      </w:r>
    </w:p>
    <w:p w14:paraId="0273469D" w14:textId="10E2B035" w:rsidR="00E33178" w:rsidRPr="000E0BF4" w:rsidRDefault="0084684B" w:rsidP="00CA3CC8">
      <w:pPr>
        <w:jc w:val="both"/>
        <w:rPr>
          <w:lang w:val="de-DE"/>
        </w:rPr>
      </w:pPr>
      <w:r>
        <w:rPr>
          <w:lang w:val="de"/>
        </w:rPr>
        <w:t xml:space="preserve">Hier müssen die </w:t>
      </w:r>
      <w:r w:rsidR="00B4461F">
        <w:rPr>
          <w:lang w:val="de"/>
        </w:rPr>
        <w:t xml:space="preserve">Studierenden </w:t>
      </w:r>
      <w:r>
        <w:rPr>
          <w:lang w:val="de"/>
        </w:rPr>
        <w:t>ein paar Dinge beachten:</w:t>
      </w:r>
    </w:p>
    <w:p w14:paraId="4EA307C9" w14:textId="388015DC" w:rsidR="0084684B" w:rsidRPr="000E0BF4" w:rsidRDefault="00222911" w:rsidP="00CA3CC8">
      <w:pPr>
        <w:pStyle w:val="Luettelokappale"/>
        <w:numPr>
          <w:ilvl w:val="0"/>
          <w:numId w:val="2"/>
        </w:numPr>
        <w:jc w:val="both"/>
        <w:rPr>
          <w:lang w:val="de-DE"/>
        </w:rPr>
      </w:pPr>
      <w:r>
        <w:rPr>
          <w:lang w:val="de"/>
        </w:rPr>
        <w:t>Welches Tool in der Mess-App möchten sie verwenden?</w:t>
      </w:r>
    </w:p>
    <w:p w14:paraId="2D815FE4" w14:textId="707368CC" w:rsidR="00804890" w:rsidRPr="000E0BF4" w:rsidRDefault="00804890" w:rsidP="00CA3CC8">
      <w:pPr>
        <w:pStyle w:val="Luettelokappale"/>
        <w:numPr>
          <w:ilvl w:val="1"/>
          <w:numId w:val="2"/>
        </w:numPr>
        <w:jc w:val="both"/>
        <w:rPr>
          <w:lang w:val="de-DE"/>
        </w:rPr>
      </w:pPr>
      <w:r>
        <w:rPr>
          <w:lang w:val="de"/>
        </w:rPr>
        <w:t>Die Suche nach einem geeigneten Werkzeug kann einige Tests erfordern. In phyphox</w:t>
      </w:r>
      <w:r w:rsidR="00CA4854">
        <w:rPr>
          <w:lang w:val="de"/>
        </w:rPr>
        <w:t xml:space="preserve"> zum Beispiel </w:t>
      </w:r>
      <w:r>
        <w:rPr>
          <w:lang w:val="de"/>
        </w:rPr>
        <w:t>sind mögliche Werkzeuge</w:t>
      </w:r>
      <w:r w:rsidR="008E2D42">
        <w:rPr>
          <w:lang w:val="de"/>
        </w:rPr>
        <w:t xml:space="preserve"> im Wesentlichen</w:t>
      </w:r>
      <w:r>
        <w:rPr>
          <w:lang w:val="de"/>
        </w:rPr>
        <w:t xml:space="preserve"> </w:t>
      </w:r>
      <w:r w:rsidR="00B4461F">
        <w:rPr>
          <w:lang w:val="de"/>
        </w:rPr>
        <w:t>„</w:t>
      </w:r>
      <w:r>
        <w:rPr>
          <w:lang w:val="de"/>
        </w:rPr>
        <w:t xml:space="preserve">Audio </w:t>
      </w:r>
      <w:r w:rsidR="0010148C">
        <w:rPr>
          <w:lang w:val="de"/>
        </w:rPr>
        <w:t>A</w:t>
      </w:r>
      <w:r w:rsidR="00B4461F">
        <w:rPr>
          <w:lang w:val="de"/>
        </w:rPr>
        <w:t>u</w:t>
      </w:r>
      <w:r>
        <w:rPr>
          <w:lang w:val="de"/>
        </w:rPr>
        <w:t>tokorrelation</w:t>
      </w:r>
      <w:r w:rsidR="00B4461F">
        <w:rPr>
          <w:lang w:val="de"/>
        </w:rPr>
        <w:t>“</w:t>
      </w:r>
      <w:r>
        <w:rPr>
          <w:lang w:val="de"/>
        </w:rPr>
        <w:t xml:space="preserve">, </w:t>
      </w:r>
      <w:r w:rsidR="00B4461F">
        <w:rPr>
          <w:lang w:val="de"/>
        </w:rPr>
        <w:t>„</w:t>
      </w:r>
      <w:r w:rsidR="00E86A5E">
        <w:rPr>
          <w:lang w:val="de"/>
        </w:rPr>
        <w:t xml:space="preserve">Frequenz </w:t>
      </w:r>
      <w:r w:rsidR="00B4461F">
        <w:rPr>
          <w:lang w:val="de"/>
        </w:rPr>
        <w:t>Verlauf“</w:t>
      </w:r>
      <w:r w:rsidR="00261FCA">
        <w:rPr>
          <w:lang w:val="de"/>
        </w:rPr>
        <w:t xml:space="preserve"> </w:t>
      </w:r>
      <w:r w:rsidR="008E2D42">
        <w:rPr>
          <w:lang w:val="de"/>
        </w:rPr>
        <w:t xml:space="preserve">und </w:t>
      </w:r>
      <w:r w:rsidR="00B4461F">
        <w:rPr>
          <w:lang w:val="de"/>
        </w:rPr>
        <w:t>„</w:t>
      </w:r>
      <w:r w:rsidR="008E2D42">
        <w:rPr>
          <w:lang w:val="de"/>
        </w:rPr>
        <w:t>Audio</w:t>
      </w:r>
      <w:r w:rsidR="00B4461F">
        <w:rPr>
          <w:lang w:val="de"/>
        </w:rPr>
        <w:t xml:space="preserve"> S</w:t>
      </w:r>
      <w:r w:rsidR="008E2D42">
        <w:rPr>
          <w:lang w:val="de"/>
        </w:rPr>
        <w:t>pektrum</w:t>
      </w:r>
      <w:r w:rsidR="00B4461F">
        <w:rPr>
          <w:lang w:val="de"/>
        </w:rPr>
        <w:t>“</w:t>
      </w:r>
      <w:r w:rsidR="0010148C">
        <w:rPr>
          <w:lang w:val="de"/>
        </w:rPr>
        <w:t>.</w:t>
      </w:r>
      <w:r w:rsidR="00261FCA">
        <w:rPr>
          <w:lang w:val="de"/>
        </w:rPr>
        <w:t xml:space="preserve"> </w:t>
      </w:r>
      <w:r w:rsidR="0010148C">
        <w:rPr>
          <w:lang w:val="de"/>
        </w:rPr>
        <w:t>Von diesen bietet die Audio-Autokorrelation die einfachste Möglichkeit</w:t>
      </w:r>
      <w:r w:rsidR="00CE6AFB">
        <w:rPr>
          <w:lang w:val="de"/>
        </w:rPr>
        <w:t xml:space="preserve">, einen numerischen Wert für die Frequenz zu erhalten. Audiospektrum </w:t>
      </w:r>
      <w:r w:rsidR="00D533E8">
        <w:rPr>
          <w:lang w:val="de"/>
        </w:rPr>
        <w:t>und Frequenzverlauf geben die genaue Frequenz nicht direkt an</w:t>
      </w:r>
      <w:r w:rsidR="00F27F3D">
        <w:rPr>
          <w:lang w:val="de"/>
        </w:rPr>
        <w:t>, aber mit zusätzlichem Aufwand sind</w:t>
      </w:r>
      <w:r w:rsidR="00B4461F">
        <w:rPr>
          <w:lang w:val="de"/>
        </w:rPr>
        <w:t xml:space="preserve"> auch</w:t>
      </w:r>
      <w:r w:rsidR="00F27F3D">
        <w:rPr>
          <w:lang w:val="de"/>
        </w:rPr>
        <w:t xml:space="preserve"> diese Tools </w:t>
      </w:r>
      <w:r w:rsidR="00B4461F">
        <w:rPr>
          <w:lang w:val="de"/>
        </w:rPr>
        <w:t xml:space="preserve">hier </w:t>
      </w:r>
      <w:r w:rsidR="00F27F3D">
        <w:rPr>
          <w:lang w:val="de"/>
        </w:rPr>
        <w:t>verwendbar.</w:t>
      </w:r>
    </w:p>
    <w:p w14:paraId="75944FA2" w14:textId="4AE36C70" w:rsidR="003969B3" w:rsidRPr="000E0BF4" w:rsidRDefault="003969B3" w:rsidP="00CA3CC8">
      <w:pPr>
        <w:pStyle w:val="Luettelokappale"/>
        <w:numPr>
          <w:ilvl w:val="0"/>
          <w:numId w:val="2"/>
        </w:numPr>
        <w:jc w:val="both"/>
        <w:rPr>
          <w:lang w:val="de-DE"/>
        </w:rPr>
      </w:pPr>
      <w:r>
        <w:rPr>
          <w:lang w:val="de"/>
        </w:rPr>
        <w:t xml:space="preserve">Welche Größen </w:t>
      </w:r>
      <w:r w:rsidR="00B4461F">
        <w:rPr>
          <w:lang w:val="de"/>
        </w:rPr>
        <w:t xml:space="preserve">sind </w:t>
      </w:r>
      <w:r>
        <w:rPr>
          <w:lang w:val="de"/>
        </w:rPr>
        <w:t>zu messen?</w:t>
      </w:r>
    </w:p>
    <w:p w14:paraId="62627ABF" w14:textId="77F3B82E" w:rsidR="00696267" w:rsidRPr="000E0BF4" w:rsidRDefault="00B4461F" w:rsidP="00CA3CC8">
      <w:pPr>
        <w:pStyle w:val="Luettelokappale"/>
        <w:numPr>
          <w:ilvl w:val="1"/>
          <w:numId w:val="2"/>
        </w:numPr>
        <w:jc w:val="both"/>
        <w:rPr>
          <w:lang w:val="de-DE"/>
        </w:rPr>
      </w:pPr>
      <w:r>
        <w:rPr>
          <w:lang w:val="de"/>
        </w:rPr>
        <w:t>Die</w:t>
      </w:r>
      <w:r w:rsidR="00B90403">
        <w:rPr>
          <w:lang w:val="de"/>
        </w:rPr>
        <w:t xml:space="preserve"> Wesentlichen zu messenden Mengen </w:t>
      </w:r>
      <w:r>
        <w:rPr>
          <w:lang w:val="de"/>
        </w:rPr>
        <w:t xml:space="preserve">sind </w:t>
      </w:r>
      <w:r w:rsidR="00B90403">
        <w:rPr>
          <w:lang w:val="de"/>
        </w:rPr>
        <w:t>das Wasservolumen in der Flasche, die Höhe der Luftsäule in der Flasche, die</w:t>
      </w:r>
      <w:r w:rsidR="00F3275F">
        <w:rPr>
          <w:lang w:val="de"/>
        </w:rPr>
        <w:t xml:space="preserve"> Schallfrequenz für jeden </w:t>
      </w:r>
      <w:r>
        <w:rPr>
          <w:lang w:val="de"/>
        </w:rPr>
        <w:t>Wasserstand, der</w:t>
      </w:r>
      <w:r w:rsidR="00A66536">
        <w:rPr>
          <w:lang w:val="de"/>
        </w:rPr>
        <w:t xml:space="preserve"> Innenradius / Durchmesser des Flaschenhalses, die Länge des Flaschenhalses</w:t>
      </w:r>
      <w:r w:rsidR="00571599">
        <w:rPr>
          <w:lang w:val="de"/>
        </w:rPr>
        <w:t xml:space="preserve"> </w:t>
      </w:r>
      <w:r w:rsidR="004A74AF">
        <w:rPr>
          <w:lang w:val="de"/>
        </w:rPr>
        <w:t xml:space="preserve">und das </w:t>
      </w:r>
      <w:r w:rsidR="00E020CF">
        <w:rPr>
          <w:lang w:val="de"/>
        </w:rPr>
        <w:t>Volumen des Flaschenhohlraums</w:t>
      </w:r>
      <w:r w:rsidR="005F4DB8">
        <w:rPr>
          <w:lang w:val="de"/>
        </w:rPr>
        <w:t>.</w:t>
      </w:r>
      <w:r w:rsidR="00571599">
        <w:rPr>
          <w:lang w:val="de"/>
        </w:rPr>
        <w:t xml:space="preserve"> </w:t>
      </w:r>
      <w:r>
        <w:rPr>
          <w:lang w:val="de"/>
        </w:rPr>
        <w:t xml:space="preserve">Man kann die </w:t>
      </w:r>
      <w:r w:rsidR="00AC3AF3">
        <w:rPr>
          <w:lang w:val="de"/>
        </w:rPr>
        <w:t xml:space="preserve">Messungen für </w:t>
      </w:r>
      <w:r w:rsidR="00364667">
        <w:rPr>
          <w:lang w:val="de"/>
        </w:rPr>
        <w:t xml:space="preserve">die beiden Modelle separat planen </w:t>
      </w:r>
      <w:r>
        <w:rPr>
          <w:lang w:val="de"/>
        </w:rPr>
        <w:t>oder alles</w:t>
      </w:r>
      <w:r w:rsidR="00364667">
        <w:rPr>
          <w:lang w:val="de"/>
        </w:rPr>
        <w:t xml:space="preserve"> in einem Zug </w:t>
      </w:r>
      <w:r>
        <w:rPr>
          <w:lang w:val="de"/>
        </w:rPr>
        <w:t>messen</w:t>
      </w:r>
      <w:r w:rsidR="00364667">
        <w:rPr>
          <w:lang w:val="de"/>
        </w:rPr>
        <w:t>.</w:t>
      </w:r>
    </w:p>
    <w:p w14:paraId="0759B7DB" w14:textId="147270F4" w:rsidR="001B4839" w:rsidRPr="000E0BF4" w:rsidRDefault="00D96773" w:rsidP="00CA3CC8">
      <w:pPr>
        <w:pStyle w:val="Luettelokappale"/>
        <w:numPr>
          <w:ilvl w:val="1"/>
          <w:numId w:val="2"/>
        </w:numPr>
        <w:jc w:val="both"/>
        <w:rPr>
          <w:lang w:val="de-DE"/>
        </w:rPr>
      </w:pPr>
      <w:r>
        <w:rPr>
          <w:lang w:val="de"/>
        </w:rPr>
        <w:t xml:space="preserve">Es ist wichtig zu definieren, wo der Flaschenhals beginnt und </w:t>
      </w:r>
      <w:r w:rsidR="00B4461F">
        <w:rPr>
          <w:lang w:val="de"/>
        </w:rPr>
        <w:t xml:space="preserve">wo dieser </w:t>
      </w:r>
      <w:r>
        <w:rPr>
          <w:lang w:val="de"/>
        </w:rPr>
        <w:t xml:space="preserve">zum Flaschenhohlraum </w:t>
      </w:r>
      <w:r w:rsidR="00B4461F">
        <w:rPr>
          <w:lang w:val="de"/>
        </w:rPr>
        <w:t>übergeht</w:t>
      </w:r>
      <w:r>
        <w:rPr>
          <w:lang w:val="de"/>
        </w:rPr>
        <w:t xml:space="preserve">. </w:t>
      </w:r>
      <w:r w:rsidR="00B4461F">
        <w:rPr>
          <w:lang w:val="de"/>
        </w:rPr>
        <w:t>Interessant wäre auch, sich mit der damit verbunden Unsicherheit auseinanderzusetzen</w:t>
      </w:r>
      <w:r>
        <w:rPr>
          <w:lang w:val="de"/>
        </w:rPr>
        <w:t>.</w:t>
      </w:r>
    </w:p>
    <w:p w14:paraId="38962B31" w14:textId="40E74D7C" w:rsidR="003969B3" w:rsidRPr="000E0BF4" w:rsidRDefault="003969B3" w:rsidP="00CA3CC8">
      <w:pPr>
        <w:pStyle w:val="Luettelokappale"/>
        <w:numPr>
          <w:ilvl w:val="0"/>
          <w:numId w:val="2"/>
        </w:numPr>
        <w:jc w:val="both"/>
        <w:rPr>
          <w:lang w:val="de-DE"/>
        </w:rPr>
      </w:pPr>
      <w:r>
        <w:rPr>
          <w:lang w:val="de"/>
        </w:rPr>
        <w:t xml:space="preserve">Wie viele Datenpunkte </w:t>
      </w:r>
      <w:r w:rsidR="00B4461F">
        <w:rPr>
          <w:lang w:val="de"/>
        </w:rPr>
        <w:t>erfasst werden sollten</w:t>
      </w:r>
      <w:r>
        <w:rPr>
          <w:lang w:val="de"/>
        </w:rPr>
        <w:t xml:space="preserve"> (wie viele Wasserstände in der Flasche)</w:t>
      </w:r>
    </w:p>
    <w:p w14:paraId="4BC03ACB" w14:textId="6690186C" w:rsidR="004669C1" w:rsidRDefault="008F3A76" w:rsidP="00CA3CC8">
      <w:pPr>
        <w:pStyle w:val="Luettelokappale"/>
        <w:numPr>
          <w:ilvl w:val="1"/>
          <w:numId w:val="2"/>
        </w:numPr>
        <w:jc w:val="both"/>
      </w:pPr>
      <w:r>
        <w:rPr>
          <w:lang w:val="de"/>
        </w:rPr>
        <w:t xml:space="preserve">Dies kann von der Größe der Flasche und der vom verwendeten Messbecher </w:t>
      </w:r>
      <w:r w:rsidR="00B4461F">
        <w:rPr>
          <w:lang w:val="de"/>
        </w:rPr>
        <w:t>vorgegebenen</w:t>
      </w:r>
      <w:r>
        <w:rPr>
          <w:lang w:val="de"/>
        </w:rPr>
        <w:t xml:space="preserve"> </w:t>
      </w:r>
      <w:r w:rsidR="00B4461F">
        <w:rPr>
          <w:lang w:val="de"/>
        </w:rPr>
        <w:t>Skalenteile</w:t>
      </w:r>
      <w:r>
        <w:rPr>
          <w:lang w:val="de"/>
        </w:rPr>
        <w:t xml:space="preserve"> abhängen. Die Datenerfassung in diesem Experiment </w:t>
      </w:r>
      <w:r w:rsidR="00805A84">
        <w:rPr>
          <w:lang w:val="de"/>
        </w:rPr>
        <w:t xml:space="preserve">ist ziemlich schnell, so dass so </w:t>
      </w:r>
      <w:r w:rsidR="00F77F44">
        <w:rPr>
          <w:lang w:val="de"/>
        </w:rPr>
        <w:t>viele Datenpunkte wie möglich</w:t>
      </w:r>
      <w:r w:rsidR="000472C7">
        <w:rPr>
          <w:lang w:val="de"/>
        </w:rPr>
        <w:t xml:space="preserve"> eine vernünftige Wahl sind</w:t>
      </w:r>
      <w:r w:rsidR="004159C6">
        <w:rPr>
          <w:lang w:val="de"/>
        </w:rPr>
        <w:t>.</w:t>
      </w:r>
      <w:r w:rsidR="00224D57">
        <w:rPr>
          <w:lang w:val="de"/>
        </w:rPr>
        <w:t xml:space="preserve"> </w:t>
      </w:r>
      <w:r w:rsidR="00182E7E">
        <w:rPr>
          <w:lang w:val="de"/>
        </w:rPr>
        <w:t xml:space="preserve"> Einige mögen versucht sein, eine Modellvorhersage mit </w:t>
      </w:r>
      <w:r w:rsidR="009D7CFF">
        <w:rPr>
          <w:lang w:val="de"/>
        </w:rPr>
        <w:t xml:space="preserve">den </w:t>
      </w:r>
      <w:r w:rsidR="00182E7E">
        <w:rPr>
          <w:lang w:val="de"/>
        </w:rPr>
        <w:t xml:space="preserve">Daten </w:t>
      </w:r>
      <w:r w:rsidR="009D7CFF">
        <w:rPr>
          <w:lang w:val="de"/>
        </w:rPr>
        <w:t>eines einzigen</w:t>
      </w:r>
      <w:r w:rsidR="00182E7E">
        <w:rPr>
          <w:lang w:val="de"/>
        </w:rPr>
        <w:t xml:space="preserve"> Punkt</w:t>
      </w:r>
      <w:r w:rsidR="009D7CFF">
        <w:rPr>
          <w:lang w:val="de"/>
        </w:rPr>
        <w:t>es</w:t>
      </w:r>
      <w:r w:rsidR="00182E7E">
        <w:rPr>
          <w:lang w:val="de"/>
        </w:rPr>
        <w:t xml:space="preserve"> zu vergleichen und</w:t>
      </w:r>
      <w:r w:rsidR="009D7CFF">
        <w:rPr>
          <w:lang w:val="de"/>
        </w:rPr>
        <w:t xml:space="preserve"> daraus</w:t>
      </w:r>
      <w:r w:rsidR="00182E7E">
        <w:rPr>
          <w:lang w:val="de"/>
        </w:rPr>
        <w:t xml:space="preserve"> Schlussfolgerungen zu ziehen, aber </w:t>
      </w:r>
      <w:r w:rsidR="006455CF">
        <w:rPr>
          <w:lang w:val="de"/>
        </w:rPr>
        <w:t xml:space="preserve">ein breiterer </w:t>
      </w:r>
      <w:r w:rsidR="00302C6D">
        <w:rPr>
          <w:lang w:val="de"/>
        </w:rPr>
        <w:t xml:space="preserve">Umfang sollte </w:t>
      </w:r>
      <w:r w:rsidR="009D7CFF">
        <w:rPr>
          <w:lang w:val="de"/>
        </w:rPr>
        <w:t>gefördert</w:t>
      </w:r>
      <w:r w:rsidR="00302C6D">
        <w:rPr>
          <w:lang w:val="de"/>
        </w:rPr>
        <w:t xml:space="preserve"> werden.</w:t>
      </w:r>
      <w:r w:rsidR="00CD3352">
        <w:rPr>
          <w:lang w:val="de"/>
        </w:rPr>
        <w:t xml:space="preserve"> Die Entscheidungen können später </w:t>
      </w:r>
      <w:r w:rsidR="009D7CFF">
        <w:rPr>
          <w:lang w:val="de"/>
        </w:rPr>
        <w:t>noch</w:t>
      </w:r>
      <w:r w:rsidR="00CD3352">
        <w:rPr>
          <w:lang w:val="de"/>
        </w:rPr>
        <w:t xml:space="preserve"> revidiert werden.</w:t>
      </w:r>
    </w:p>
    <w:p w14:paraId="4B96F2CF" w14:textId="4E56DCF9" w:rsidR="00AA16F4" w:rsidRPr="000E0BF4" w:rsidRDefault="009D7CFF" w:rsidP="00CA3CC8">
      <w:pPr>
        <w:pStyle w:val="Luettelokappale"/>
        <w:numPr>
          <w:ilvl w:val="0"/>
          <w:numId w:val="2"/>
        </w:numPr>
        <w:jc w:val="both"/>
        <w:rPr>
          <w:lang w:val="de-DE"/>
        </w:rPr>
      </w:pPr>
      <w:r>
        <w:rPr>
          <w:lang w:val="de"/>
        </w:rPr>
        <w:t>Wie Messunsicherheiten geschätzt werden sollten</w:t>
      </w:r>
      <w:r w:rsidR="004669C1">
        <w:rPr>
          <w:lang w:val="de"/>
        </w:rPr>
        <w:t>.</w:t>
      </w:r>
    </w:p>
    <w:p w14:paraId="7DF20F13" w14:textId="46EC6CAD" w:rsidR="00350AE4" w:rsidRPr="000E0BF4" w:rsidRDefault="003A1D11" w:rsidP="00CA3CC8">
      <w:pPr>
        <w:pStyle w:val="Otsikko4"/>
        <w:jc w:val="both"/>
        <w:rPr>
          <w:lang w:val="de-DE"/>
        </w:rPr>
      </w:pPr>
      <w:r>
        <w:rPr>
          <w:lang w:val="de"/>
        </w:rPr>
        <w:lastRenderedPageBreak/>
        <w:t>Testen de</w:t>
      </w:r>
      <w:r w:rsidR="009D7CFF">
        <w:rPr>
          <w:lang w:val="de"/>
        </w:rPr>
        <w:t>s Equipments</w:t>
      </w:r>
    </w:p>
    <w:p w14:paraId="07D14582" w14:textId="4E5B1AF2" w:rsidR="00760333" w:rsidRPr="000E0BF4" w:rsidRDefault="00D87201" w:rsidP="00CA3CC8">
      <w:pPr>
        <w:jc w:val="both"/>
        <w:rPr>
          <w:lang w:val="de-DE"/>
        </w:rPr>
      </w:pPr>
      <w:r>
        <w:rPr>
          <w:lang w:val="de"/>
        </w:rPr>
        <w:t xml:space="preserve">Das </w:t>
      </w:r>
      <w:r w:rsidR="009D7CFF">
        <w:rPr>
          <w:lang w:val="de"/>
        </w:rPr>
        <w:t>Finden</w:t>
      </w:r>
      <w:r>
        <w:rPr>
          <w:lang w:val="de"/>
        </w:rPr>
        <w:t xml:space="preserve"> </w:t>
      </w:r>
      <w:r w:rsidR="009D7CFF">
        <w:rPr>
          <w:lang w:val="de"/>
        </w:rPr>
        <w:t>eines geeigneten</w:t>
      </w:r>
      <w:r>
        <w:rPr>
          <w:lang w:val="de"/>
        </w:rPr>
        <w:t xml:space="preserve"> Tools </w:t>
      </w:r>
      <w:r w:rsidR="009D7CFF">
        <w:rPr>
          <w:lang w:val="de"/>
        </w:rPr>
        <w:t xml:space="preserve">in der </w:t>
      </w:r>
      <w:r>
        <w:rPr>
          <w:lang w:val="de"/>
        </w:rPr>
        <w:t xml:space="preserve">App erfordert wahrscheinlich einige Tests. Es ist ratsam, einige Tests durchzuführen, um sich </w:t>
      </w:r>
      <w:r w:rsidR="00014BED">
        <w:rPr>
          <w:lang w:val="de"/>
        </w:rPr>
        <w:t xml:space="preserve">mit dem digitalen Werkzeug vertraut zu machen </w:t>
      </w:r>
      <w:r w:rsidR="00083CA3">
        <w:rPr>
          <w:lang w:val="de"/>
        </w:rPr>
        <w:t>und sicherzustellen, dass d</w:t>
      </w:r>
      <w:r w:rsidR="009D7CFF">
        <w:rPr>
          <w:lang w:val="de"/>
        </w:rPr>
        <w:t>ie richtigen Größen gemessen werden</w:t>
      </w:r>
      <w:r w:rsidR="00083CA3">
        <w:rPr>
          <w:lang w:val="de"/>
        </w:rPr>
        <w:t>.</w:t>
      </w:r>
      <w:r w:rsidR="009A1C56">
        <w:rPr>
          <w:lang w:val="de"/>
        </w:rPr>
        <w:t xml:space="preserve"> Man könnte überprüfen, ob sich die Frequenz ändert, wenn Wasser in die Flasche gegeben wird.</w:t>
      </w:r>
    </w:p>
    <w:p w14:paraId="2AC4CC6A" w14:textId="1E3C3D38" w:rsidR="00D72D74" w:rsidRPr="000E0BF4" w:rsidRDefault="00350AE4" w:rsidP="00CA3CC8">
      <w:pPr>
        <w:pStyle w:val="Otsikko4"/>
        <w:jc w:val="both"/>
        <w:rPr>
          <w:lang w:val="de-DE"/>
        </w:rPr>
      </w:pPr>
      <w:r>
        <w:rPr>
          <w:lang w:val="de"/>
        </w:rPr>
        <w:t>Datensammlung</w:t>
      </w:r>
    </w:p>
    <w:p w14:paraId="55002E0D" w14:textId="18A6E0AE" w:rsidR="00540005" w:rsidRPr="004822A6" w:rsidRDefault="00F04EAD" w:rsidP="00CA3CC8">
      <w:pPr>
        <w:jc w:val="both"/>
        <w:rPr>
          <w:lang w:val="de"/>
        </w:rPr>
      </w:pPr>
      <w:r>
        <w:rPr>
          <w:lang w:val="de"/>
        </w:rPr>
        <w:t xml:space="preserve">Nehmen wir eine Standard-Weinflasche mit langem Hals als Beispiel. Man </w:t>
      </w:r>
      <w:r w:rsidR="004E4D70">
        <w:rPr>
          <w:lang w:val="de"/>
        </w:rPr>
        <w:t>misst</w:t>
      </w:r>
      <w:r>
        <w:rPr>
          <w:lang w:val="de"/>
        </w:rPr>
        <w:t xml:space="preserve"> zunächst die relevante Grundgeometrie der Flasche: Innendurchmesser des Halses, Länge des Halses </w:t>
      </w:r>
      <w:r w:rsidR="00E468BA">
        <w:rPr>
          <w:lang w:val="de"/>
        </w:rPr>
        <w:t xml:space="preserve">und vielleicht schon das </w:t>
      </w:r>
      <w:r w:rsidR="008957E5">
        <w:rPr>
          <w:lang w:val="de"/>
        </w:rPr>
        <w:t xml:space="preserve">volle </w:t>
      </w:r>
      <w:r w:rsidR="00E468BA">
        <w:rPr>
          <w:lang w:val="de"/>
        </w:rPr>
        <w:t>Volumen des Flaschenhohlraums.</w:t>
      </w:r>
      <w:r w:rsidR="00C713C2">
        <w:rPr>
          <w:lang w:val="de"/>
        </w:rPr>
        <w:t xml:space="preserve"> </w:t>
      </w:r>
      <w:r w:rsidR="003708A5">
        <w:rPr>
          <w:lang w:val="de"/>
        </w:rPr>
        <w:t xml:space="preserve">Dann kann man die Frequenz aus der leeren Flasche </w:t>
      </w:r>
      <w:r w:rsidR="009D7CFF">
        <w:rPr>
          <w:lang w:val="de"/>
        </w:rPr>
        <w:t>messen und</w:t>
      </w:r>
      <w:r w:rsidR="00C713C2">
        <w:rPr>
          <w:lang w:val="de"/>
        </w:rPr>
        <w:t xml:space="preserve"> die Flasche </w:t>
      </w:r>
      <w:r w:rsidR="009D7CFF">
        <w:rPr>
          <w:lang w:val="de"/>
        </w:rPr>
        <w:t>dann</w:t>
      </w:r>
      <w:r w:rsidR="008B77D8">
        <w:rPr>
          <w:lang w:val="de"/>
        </w:rPr>
        <w:t xml:space="preserve"> in 50 ml</w:t>
      </w:r>
      <w:r w:rsidR="009D7CFF">
        <w:rPr>
          <w:lang w:val="de"/>
        </w:rPr>
        <w:t>-</w:t>
      </w:r>
      <w:r w:rsidR="008B77D8">
        <w:rPr>
          <w:lang w:val="de"/>
        </w:rPr>
        <w:t xml:space="preserve"> oder 100 ml</w:t>
      </w:r>
      <w:r w:rsidR="009D7CFF">
        <w:rPr>
          <w:lang w:val="de"/>
        </w:rPr>
        <w:t>-Schritten</w:t>
      </w:r>
      <w:r w:rsidR="008B77D8">
        <w:rPr>
          <w:lang w:val="de"/>
        </w:rPr>
        <w:t xml:space="preserve"> mit Wasser füllen</w:t>
      </w:r>
      <w:r w:rsidR="009D7CFF">
        <w:rPr>
          <w:lang w:val="de"/>
        </w:rPr>
        <w:t xml:space="preserve"> (</w:t>
      </w:r>
      <w:r w:rsidR="00E468BA">
        <w:rPr>
          <w:lang w:val="de"/>
        </w:rPr>
        <w:t>abhängig vom</w:t>
      </w:r>
      <w:r w:rsidR="00134FA4">
        <w:rPr>
          <w:lang w:val="de"/>
        </w:rPr>
        <w:t xml:space="preserve"> verfügbaren</w:t>
      </w:r>
      <w:r w:rsidR="00C713C2">
        <w:rPr>
          <w:lang w:val="de"/>
        </w:rPr>
        <w:t xml:space="preserve"> </w:t>
      </w:r>
      <w:r w:rsidR="00134FA4">
        <w:rPr>
          <w:lang w:val="de"/>
        </w:rPr>
        <w:t>Messbecher</w:t>
      </w:r>
      <w:r w:rsidR="009D7CFF">
        <w:rPr>
          <w:lang w:val="de"/>
        </w:rPr>
        <w:t>)</w:t>
      </w:r>
      <w:r w:rsidR="00C713C2">
        <w:rPr>
          <w:lang w:val="de"/>
        </w:rPr>
        <w:t xml:space="preserve"> </w:t>
      </w:r>
      <w:r w:rsidR="00915FC8">
        <w:rPr>
          <w:lang w:val="de"/>
        </w:rPr>
        <w:t xml:space="preserve">während die Schallfrequenz, </w:t>
      </w:r>
      <w:r w:rsidR="00BB3C91">
        <w:rPr>
          <w:lang w:val="de"/>
        </w:rPr>
        <w:t>die Länge der Luftsäule in der Flasche und das Volumen des hinzugefügten Wassers</w:t>
      </w:r>
      <w:r w:rsidR="00C713C2">
        <w:rPr>
          <w:lang w:val="de"/>
        </w:rPr>
        <w:t xml:space="preserve"> aufgezeichnet werden</w:t>
      </w:r>
      <w:r w:rsidR="00F60E5A">
        <w:rPr>
          <w:lang w:val="de"/>
        </w:rPr>
        <w:t>.</w:t>
      </w:r>
      <w:r w:rsidR="00E468BA">
        <w:rPr>
          <w:lang w:val="de"/>
        </w:rPr>
        <w:t xml:space="preserve"> </w:t>
      </w:r>
      <w:r w:rsidR="00B26197">
        <w:rPr>
          <w:lang w:val="de"/>
        </w:rPr>
        <w:t>Um das Luftvolumen in der Flasche abzuschätzen und Datenpunkte zu erhalten</w:t>
      </w:r>
      <w:r w:rsidR="00C713C2">
        <w:rPr>
          <w:lang w:val="de"/>
        </w:rPr>
        <w:t xml:space="preserve">, </w:t>
      </w:r>
      <w:r w:rsidR="006018FB">
        <w:rPr>
          <w:lang w:val="de"/>
        </w:rPr>
        <w:t>wenn die Flasche bis zum Hals gefüllt ist</w:t>
      </w:r>
      <w:r w:rsidR="00B26197">
        <w:rPr>
          <w:lang w:val="de"/>
        </w:rPr>
        <w:t xml:space="preserve">, muss man möglicherweise </w:t>
      </w:r>
      <w:r w:rsidR="009D7CFF">
        <w:rPr>
          <w:lang w:val="de"/>
        </w:rPr>
        <w:t>angenäherte</w:t>
      </w:r>
      <w:r w:rsidR="00CF6310">
        <w:rPr>
          <w:lang w:val="de"/>
        </w:rPr>
        <w:t xml:space="preserve"> kleinere Wassermengen hinzufügen</w:t>
      </w:r>
      <w:r w:rsidR="006259F2">
        <w:rPr>
          <w:lang w:val="de"/>
        </w:rPr>
        <w:t>.</w:t>
      </w:r>
    </w:p>
    <w:p w14:paraId="6DC19AF0" w14:textId="4B571283" w:rsidR="003D7670" w:rsidRPr="000E0BF4" w:rsidRDefault="00FE0B90" w:rsidP="00CA3CC8">
      <w:pPr>
        <w:jc w:val="both"/>
        <w:rPr>
          <w:lang w:val="de-DE"/>
        </w:rPr>
      </w:pPr>
      <w:r>
        <w:rPr>
          <w:lang w:val="de"/>
        </w:rPr>
        <w:t>Man kann dann die Daten und Modellvorhersagen als Funktion der Länge der Luftsäule oder des Luftvolumens im Flaschenhohlraum darstellen.</w:t>
      </w:r>
    </w:p>
    <w:p w14:paraId="198204FE" w14:textId="247C5291" w:rsidR="00083CA3" w:rsidRPr="000E0BF4" w:rsidRDefault="00E51042" w:rsidP="00CA3CC8">
      <w:pPr>
        <w:jc w:val="both"/>
        <w:rPr>
          <w:lang w:val="de-DE"/>
        </w:rPr>
      </w:pPr>
      <w:r>
        <w:rPr>
          <w:lang w:val="de"/>
        </w:rPr>
        <w:t>Einige häufige Probleme und Hinweise im Zusammenhang mit der Datenerhebung:</w:t>
      </w:r>
    </w:p>
    <w:p w14:paraId="2E695F42" w14:textId="7438D492" w:rsidR="00733A12" w:rsidRPr="000E0BF4" w:rsidRDefault="00B01395" w:rsidP="00CA3CC8">
      <w:pPr>
        <w:pStyle w:val="Luettelokappale"/>
        <w:numPr>
          <w:ilvl w:val="0"/>
          <w:numId w:val="3"/>
        </w:numPr>
        <w:jc w:val="both"/>
        <w:rPr>
          <w:lang w:val="de-DE"/>
        </w:rPr>
      </w:pPr>
      <w:r>
        <w:rPr>
          <w:lang w:val="de"/>
        </w:rPr>
        <w:t xml:space="preserve">Die Apps können Probleme mit der Messung der niedrigsten Frequenzen für große Flaschen haben. Wenn es unmöglich ist, einen Messwert zu erhalten, </w:t>
      </w:r>
      <w:r w:rsidR="006E00F5">
        <w:rPr>
          <w:lang w:val="de"/>
        </w:rPr>
        <w:t xml:space="preserve">füllen </w:t>
      </w:r>
      <w:r>
        <w:rPr>
          <w:lang w:val="de"/>
        </w:rPr>
        <w:t xml:space="preserve">Sie </w:t>
      </w:r>
      <w:r w:rsidR="006E00F5">
        <w:rPr>
          <w:lang w:val="de"/>
        </w:rPr>
        <w:t>etwas Wasser in die</w:t>
      </w:r>
      <w:r>
        <w:rPr>
          <w:lang w:val="de"/>
        </w:rPr>
        <w:t xml:space="preserve"> Flasche </w:t>
      </w:r>
      <w:r w:rsidR="00D008E6">
        <w:rPr>
          <w:lang w:val="de"/>
        </w:rPr>
        <w:t>und prüfen</w:t>
      </w:r>
      <w:r w:rsidR="006E00F5">
        <w:rPr>
          <w:lang w:val="de"/>
        </w:rPr>
        <w:t xml:space="preserve"> Sie</w:t>
      </w:r>
      <w:r w:rsidR="00D008E6">
        <w:rPr>
          <w:lang w:val="de"/>
        </w:rPr>
        <w:t>, ob höhere Frequenzen messbar sind.</w:t>
      </w:r>
    </w:p>
    <w:p w14:paraId="129A977E" w14:textId="5D910CBD" w:rsidR="00D008E6" w:rsidRPr="004822A6" w:rsidRDefault="00B75169" w:rsidP="00CA3CC8">
      <w:pPr>
        <w:pStyle w:val="Luettelokappale"/>
        <w:numPr>
          <w:ilvl w:val="0"/>
          <w:numId w:val="3"/>
        </w:numPr>
        <w:jc w:val="both"/>
        <w:rPr>
          <w:lang w:val="de"/>
        </w:rPr>
      </w:pPr>
      <w:r>
        <w:rPr>
          <w:lang w:val="de"/>
        </w:rPr>
        <w:t>Auch wenn kein festes hörbares</w:t>
      </w:r>
      <w:r w:rsidR="00C700CF">
        <w:rPr>
          <w:lang w:val="de"/>
        </w:rPr>
        <w:t xml:space="preserve"> Tonfeld aus der </w:t>
      </w:r>
      <w:r w:rsidR="004E4D70">
        <w:rPr>
          <w:lang w:val="de"/>
        </w:rPr>
        <w:t>Flasche kommt</w:t>
      </w:r>
      <w:r w:rsidR="004C5CAA">
        <w:rPr>
          <w:lang w:val="de"/>
        </w:rPr>
        <w:t xml:space="preserve">, ist </w:t>
      </w:r>
      <w:r>
        <w:rPr>
          <w:lang w:val="de"/>
        </w:rPr>
        <w:t xml:space="preserve">es möglich, dass </w:t>
      </w:r>
      <w:r w:rsidR="00C700CF">
        <w:rPr>
          <w:lang w:val="de"/>
        </w:rPr>
        <w:t>die Resonanzfrequenz aktiviert und messbar ist.</w:t>
      </w:r>
      <w:r w:rsidR="004C5CAA">
        <w:rPr>
          <w:lang w:val="de"/>
        </w:rPr>
        <w:t xml:space="preserve"> </w:t>
      </w:r>
      <w:r w:rsidR="00977836">
        <w:rPr>
          <w:lang w:val="de"/>
        </w:rPr>
        <w:t>Wenn es bei einigen Wasserständen Probleme gibt, einen festen Klang zu erhalten, könnte dies überprüft werden.</w:t>
      </w:r>
    </w:p>
    <w:p w14:paraId="1BBB5857" w14:textId="3F6C03B4" w:rsidR="00E51042" w:rsidRPr="000E0BF4" w:rsidRDefault="00A70CB9" w:rsidP="00CA3CC8">
      <w:pPr>
        <w:pStyle w:val="Luettelokappale"/>
        <w:numPr>
          <w:ilvl w:val="0"/>
          <w:numId w:val="3"/>
        </w:numPr>
        <w:jc w:val="both"/>
        <w:rPr>
          <w:lang w:val="de-DE"/>
        </w:rPr>
      </w:pPr>
      <w:r>
        <w:rPr>
          <w:lang w:val="de"/>
        </w:rPr>
        <w:t xml:space="preserve">In einem Fall änderte sich die gemessene Frequenz nicht, selbst wenn </w:t>
      </w:r>
      <w:r w:rsidR="00C71190">
        <w:rPr>
          <w:lang w:val="de"/>
        </w:rPr>
        <w:t xml:space="preserve">eine </w:t>
      </w:r>
      <w:r>
        <w:rPr>
          <w:lang w:val="de"/>
        </w:rPr>
        <w:t xml:space="preserve">signifikante Menge Wasser in die Flasche gegeben wurde. </w:t>
      </w:r>
      <w:r w:rsidR="00C24821">
        <w:rPr>
          <w:lang w:val="de"/>
        </w:rPr>
        <w:t>Ein Neustart der App und des Telefons kann</w:t>
      </w:r>
      <w:r w:rsidR="006E00F5">
        <w:rPr>
          <w:lang w:val="de"/>
        </w:rPr>
        <w:t xml:space="preserve"> hier</w:t>
      </w:r>
      <w:r w:rsidR="00C24821">
        <w:rPr>
          <w:lang w:val="de"/>
        </w:rPr>
        <w:t xml:space="preserve"> helfen.</w:t>
      </w:r>
    </w:p>
    <w:p w14:paraId="03652E1E" w14:textId="625E6F86" w:rsidR="472ED884" w:rsidRPr="000E0BF4" w:rsidRDefault="009C4BAC" w:rsidP="00CA3CC8">
      <w:pPr>
        <w:pStyle w:val="Luettelokappale"/>
        <w:numPr>
          <w:ilvl w:val="0"/>
          <w:numId w:val="3"/>
        </w:numPr>
        <w:jc w:val="both"/>
        <w:rPr>
          <w:lang w:val="de-DE"/>
        </w:rPr>
      </w:pPr>
      <w:r>
        <w:rPr>
          <w:lang w:val="de"/>
        </w:rPr>
        <w:t xml:space="preserve">In dieser Phase könnten die </w:t>
      </w:r>
      <w:r w:rsidR="00B4461F">
        <w:rPr>
          <w:lang w:val="de"/>
        </w:rPr>
        <w:t>Studierenden</w:t>
      </w:r>
      <w:r w:rsidR="006E00F5">
        <w:rPr>
          <w:lang w:val="de"/>
        </w:rPr>
        <w:t xml:space="preserve"> </w:t>
      </w:r>
      <w:r>
        <w:rPr>
          <w:lang w:val="de"/>
        </w:rPr>
        <w:t>das Gefühl haben, etwas falsch zu machen, wenn die gemessenen Frequenzen nicht mit den von den Modellen vorhergesagten Frequenzen übereinstimmen. Es sollte betont werden</w:t>
      </w:r>
      <w:r w:rsidR="006E00F5">
        <w:rPr>
          <w:lang w:val="de"/>
        </w:rPr>
        <w:t>,</w:t>
      </w:r>
      <w:r>
        <w:rPr>
          <w:lang w:val="de"/>
        </w:rPr>
        <w:t xml:space="preserve"> dass das Ziel darin besteht</w:t>
      </w:r>
      <w:r w:rsidR="006E00F5">
        <w:rPr>
          <w:lang w:val="de"/>
        </w:rPr>
        <w:t>,</w:t>
      </w:r>
      <w:r>
        <w:rPr>
          <w:lang w:val="de"/>
        </w:rPr>
        <w:t xml:space="preserve"> die Modelle zu testen</w:t>
      </w:r>
      <w:r w:rsidR="006E00F5">
        <w:rPr>
          <w:lang w:val="de"/>
        </w:rPr>
        <w:t xml:space="preserve"> und</w:t>
      </w:r>
      <w:r>
        <w:rPr>
          <w:lang w:val="de"/>
        </w:rPr>
        <w:t xml:space="preserve"> nicht</w:t>
      </w:r>
      <w:r w:rsidR="006E00F5">
        <w:rPr>
          <w:lang w:val="de"/>
        </w:rPr>
        <w:t xml:space="preserve"> darin,</w:t>
      </w:r>
      <w:r>
        <w:rPr>
          <w:lang w:val="de"/>
        </w:rPr>
        <w:t xml:space="preserve"> sie als richtig zu beweisen.</w:t>
      </w:r>
    </w:p>
    <w:p w14:paraId="18032E68" w14:textId="77777777" w:rsidR="00487060" w:rsidRPr="000E0BF4" w:rsidRDefault="00487060" w:rsidP="00CA3CC8">
      <w:pPr>
        <w:pStyle w:val="Luettelokappale"/>
        <w:jc w:val="both"/>
        <w:rPr>
          <w:lang w:val="de-DE"/>
        </w:rPr>
      </w:pPr>
    </w:p>
    <w:p w14:paraId="6CA1838E" w14:textId="06D0BFAE" w:rsidR="00350AE4" w:rsidRDefault="00D70C66" w:rsidP="00CA3CC8">
      <w:pPr>
        <w:pStyle w:val="Otsikko4"/>
        <w:jc w:val="both"/>
      </w:pPr>
      <w:r>
        <w:rPr>
          <w:lang w:val="de"/>
        </w:rPr>
        <w:lastRenderedPageBreak/>
        <w:t>Datendarstellung und -analyse</w:t>
      </w:r>
    </w:p>
    <w:p w14:paraId="0AF49CCE" w14:textId="190EB0F3" w:rsidR="006E00F5" w:rsidRDefault="0017182F" w:rsidP="00CA3CC8">
      <w:pPr>
        <w:jc w:val="both"/>
        <w:rPr>
          <w:lang w:val="de"/>
        </w:rPr>
      </w:pPr>
      <w:r>
        <w:rPr>
          <w:noProof/>
          <w:lang w:val="de"/>
        </w:rPr>
        <w:drawing>
          <wp:anchor distT="0" distB="0" distL="114300" distR="114300" simplePos="0" relativeHeight="251658240" behindDoc="0" locked="0" layoutInCell="1" allowOverlap="1" wp14:anchorId="33BFD689" wp14:editId="634E6192">
            <wp:simplePos x="0" y="0"/>
            <wp:positionH relativeFrom="column">
              <wp:posOffset>2944495</wp:posOffset>
            </wp:positionH>
            <wp:positionV relativeFrom="paragraph">
              <wp:posOffset>843280</wp:posOffset>
            </wp:positionV>
            <wp:extent cx="2651125" cy="2089785"/>
            <wp:effectExtent l="0" t="0" r="0" b="571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CFF18B" wp14:editId="0D536DFD">
                <wp:simplePos x="0" y="0"/>
                <wp:positionH relativeFrom="margin">
                  <wp:align>center</wp:align>
                </wp:positionH>
                <wp:positionV relativeFrom="paragraph">
                  <wp:posOffset>3027680</wp:posOffset>
                </wp:positionV>
                <wp:extent cx="4699000" cy="635"/>
                <wp:effectExtent l="0" t="0" r="6350" b="698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27E3FA" w14:textId="3389E449" w:rsidR="00C8779F" w:rsidRPr="00CA3CC8" w:rsidRDefault="00C8779F" w:rsidP="00C8779F">
                            <w:pPr>
                              <w:pStyle w:val="Kuvaotsikko"/>
                              <w:rPr>
                                <w:noProof/>
                                <w:lang w:val="de-DE"/>
                              </w:rPr>
                            </w:pPr>
                            <w:bookmarkStart w:id="2" w:name="_Ref97122404"/>
                            <w:r>
                              <w:rPr>
                                <w:lang w:val="de"/>
                              </w:rPr>
                              <w:t xml:space="preserve">Abbildung </w:t>
                            </w:r>
                            <w:r w:rsidR="00F5781A">
                              <w:rPr>
                                <w:lang w:val="de"/>
                              </w:rPr>
                              <w:fldChar w:fldCharType="begin"/>
                            </w:r>
                            <w:r w:rsidR="00F5781A">
                              <w:rPr>
                                <w:lang w:val="de"/>
                              </w:rPr>
                              <w:instrText xml:space="preserve"> SEQ Figure \* ARABIC </w:instrText>
                            </w:r>
                            <w:r w:rsidR="00F5781A">
                              <w:rPr>
                                <w:lang w:val="de"/>
                              </w:rPr>
                              <w:fldChar w:fldCharType="separate"/>
                            </w:r>
                            <w:r w:rsidR="00C50DAA">
                              <w:rPr>
                                <w:noProof/>
                                <w:lang w:val="de"/>
                              </w:rPr>
                              <w:t>2</w:t>
                            </w:r>
                            <w:r w:rsidR="00F5781A">
                              <w:rPr>
                                <w:noProof/>
                                <w:lang w:val="de"/>
                              </w:rPr>
                              <w:fldChar w:fldCharType="end"/>
                            </w:r>
                            <w:bookmarkEnd w:id="2"/>
                            <w:r w:rsidR="00FE1E24">
                              <w:rPr>
                                <w:lang w:val="de"/>
                              </w:rPr>
                              <w:t xml:space="preserve">: </w:t>
                            </w:r>
                            <w:r w:rsidR="008A2616">
                              <w:rPr>
                                <w:lang w:val="de"/>
                              </w:rPr>
                              <w:t>Beispielhafte Verläufe</w:t>
                            </w:r>
                            <w:r>
                              <w:rPr>
                                <w:lang w:val="de"/>
                              </w:rPr>
                              <w:t xml:space="preserve"> (</w:t>
                            </w:r>
                            <w:r w:rsidR="0091587A">
                              <w:rPr>
                                <w:lang w:val="de"/>
                              </w:rPr>
                              <w:t>ohne Fehlerbalken</w:t>
                            </w:r>
                            <w:r>
                              <w:rPr>
                                <w:lang w:val="de"/>
                              </w:rPr>
                              <w:t xml:space="preserve">) der </w:t>
                            </w:r>
                            <w:r w:rsidR="00A54550">
                              <w:rPr>
                                <w:lang w:val="de"/>
                              </w:rPr>
                              <w:t xml:space="preserve">Frequenz </w:t>
                            </w:r>
                            <w:r w:rsidR="008A2616">
                              <w:rPr>
                                <w:lang w:val="de"/>
                              </w:rPr>
                              <w:t>als Funktion</w:t>
                            </w:r>
                            <w:r w:rsidR="00A54550">
                              <w:rPr>
                                <w:lang w:val="de"/>
                              </w:rPr>
                              <w:t xml:space="preserve"> der Länge der Luftsäule in der Flasche (</w:t>
                            </w:r>
                            <w:r w:rsidR="008A2616">
                              <w:rPr>
                                <w:lang w:val="de"/>
                              </w:rPr>
                              <w:t>links</w:t>
                            </w:r>
                            <w:r w:rsidR="00A54550">
                              <w:rPr>
                                <w:lang w:val="de"/>
                              </w:rPr>
                              <w:t xml:space="preserve">) und als Funktion des Luftvolumens </w:t>
                            </w:r>
                            <w:r w:rsidR="00D72347">
                              <w:rPr>
                                <w:lang w:val="de"/>
                              </w:rPr>
                              <w:t>im Flaschenhohlraum (</w:t>
                            </w:r>
                            <w:r w:rsidR="008A2616">
                              <w:rPr>
                                <w:lang w:val="de"/>
                              </w:rPr>
                              <w:t>rechts</w:t>
                            </w:r>
                            <w:r w:rsidR="00D72347">
                              <w:rPr>
                                <w:lang w:val="de"/>
                              </w:rPr>
                              <w:t>).</w:t>
                            </w:r>
                            <w:r>
                              <w:rPr>
                                <w:lang w:val="de"/>
                              </w:rPr>
                              <w:t xml:space="preserve"> </w:t>
                            </w:r>
                            <w:r w:rsidR="0091587A">
                              <w:rPr>
                                <w:lang w:val="de"/>
                              </w:rPr>
                              <w:t xml:space="preserve">Die effektive Länge </w:t>
                            </w:r>
                            <w:r w:rsidR="0097752C">
                              <w:rPr>
                                <w:lang w:val="de"/>
                              </w:rPr>
                              <w:t>wird in dieser Abbildung nicht berücksichtigt.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CFF1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38.4pt;width:370pt;height:.05pt;z-index:251658241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" stroked="f">
                <v:textbox style="mso-fit-shape-to-text:t" inset="0,0,0,0">
                  <w:txbxContent>
                    <w:p w14:paraId="3D27E3FA" w14:textId="3389E449" w:rsidR="00C8779F" w:rsidRPr="00CA3CC8" w:rsidRDefault="00C8779F" w:rsidP="00C8779F">
                      <w:pPr>
                        <w:pStyle w:val="Kuvaotsikko"/>
                        <w:rPr>
                          <w:noProof/>
                          <w:lang w:val="de-DE"/>
                        </w:rPr>
                      </w:pPr>
                      <w:bookmarkStart w:id="3" w:name="_Ref97122404"/>
                      <w:r>
                        <w:rPr>
                          <w:lang w:val="de"/>
                        </w:rPr>
                        <w:t xml:space="preserve">Abbildung </w:t>
                      </w:r>
                      <w:r w:rsidR="00F5781A">
                        <w:rPr>
                          <w:lang w:val="de"/>
                        </w:rPr>
                        <w:fldChar w:fldCharType="begin"/>
                      </w:r>
                      <w:r w:rsidR="00F5781A">
                        <w:rPr>
                          <w:lang w:val="de"/>
                        </w:rPr>
                        <w:instrText xml:space="preserve"> SEQ Figure \* ARABIC </w:instrText>
                      </w:r>
                      <w:r w:rsidR="00F5781A">
                        <w:rPr>
                          <w:lang w:val="de"/>
                        </w:rPr>
                        <w:fldChar w:fldCharType="separate"/>
                      </w:r>
                      <w:r w:rsidR="00C50DAA">
                        <w:rPr>
                          <w:noProof/>
                          <w:lang w:val="de"/>
                        </w:rPr>
                        <w:t>2</w:t>
                      </w:r>
                      <w:r w:rsidR="00F5781A">
                        <w:rPr>
                          <w:noProof/>
                          <w:lang w:val="de"/>
                        </w:rPr>
                        <w:fldChar w:fldCharType="end"/>
                      </w:r>
                      <w:bookmarkEnd w:id="3"/>
                      <w:r w:rsidR="00FE1E24">
                        <w:rPr>
                          <w:lang w:val="de"/>
                        </w:rPr>
                        <w:t xml:space="preserve">: </w:t>
                      </w:r>
                      <w:r w:rsidR="008A2616">
                        <w:rPr>
                          <w:lang w:val="de"/>
                        </w:rPr>
                        <w:t>Beispielhafte Verläufe</w:t>
                      </w:r>
                      <w:r>
                        <w:rPr>
                          <w:lang w:val="de"/>
                        </w:rPr>
                        <w:t xml:space="preserve"> (</w:t>
                      </w:r>
                      <w:r w:rsidR="0091587A">
                        <w:rPr>
                          <w:lang w:val="de"/>
                        </w:rPr>
                        <w:t>ohne Fehlerbalken</w:t>
                      </w:r>
                      <w:r>
                        <w:rPr>
                          <w:lang w:val="de"/>
                        </w:rPr>
                        <w:t xml:space="preserve">) der </w:t>
                      </w:r>
                      <w:r w:rsidR="00A54550">
                        <w:rPr>
                          <w:lang w:val="de"/>
                        </w:rPr>
                        <w:t xml:space="preserve">Frequenz </w:t>
                      </w:r>
                      <w:r w:rsidR="008A2616">
                        <w:rPr>
                          <w:lang w:val="de"/>
                        </w:rPr>
                        <w:t>als Funktion</w:t>
                      </w:r>
                      <w:r w:rsidR="00A54550">
                        <w:rPr>
                          <w:lang w:val="de"/>
                        </w:rPr>
                        <w:t xml:space="preserve"> der Länge der Luftsäule in der Flasche (</w:t>
                      </w:r>
                      <w:r w:rsidR="008A2616">
                        <w:rPr>
                          <w:lang w:val="de"/>
                        </w:rPr>
                        <w:t>links</w:t>
                      </w:r>
                      <w:r w:rsidR="00A54550">
                        <w:rPr>
                          <w:lang w:val="de"/>
                        </w:rPr>
                        <w:t xml:space="preserve">) und als Funktion des Luftvolumens </w:t>
                      </w:r>
                      <w:r w:rsidR="00D72347">
                        <w:rPr>
                          <w:lang w:val="de"/>
                        </w:rPr>
                        <w:t>im Flaschenhohlraum (</w:t>
                      </w:r>
                      <w:r w:rsidR="008A2616">
                        <w:rPr>
                          <w:lang w:val="de"/>
                        </w:rPr>
                        <w:t>rechts</w:t>
                      </w:r>
                      <w:r w:rsidR="00D72347">
                        <w:rPr>
                          <w:lang w:val="de"/>
                        </w:rPr>
                        <w:t>).</w:t>
                      </w:r>
                      <w:r>
                        <w:rPr>
                          <w:lang w:val="de"/>
                        </w:rPr>
                        <w:t xml:space="preserve"> </w:t>
                      </w:r>
                      <w:r w:rsidR="0091587A">
                        <w:rPr>
                          <w:lang w:val="de"/>
                        </w:rPr>
                        <w:t xml:space="preserve">Die effektive Länge </w:t>
                      </w:r>
                      <w:r w:rsidR="0097752C">
                        <w:rPr>
                          <w:lang w:val="de"/>
                        </w:rPr>
                        <w:t>wird in dieser Abbildung nicht berücksichtigt.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de"/>
        </w:rPr>
        <w:drawing>
          <wp:anchor distT="0" distB="0" distL="114300" distR="114300" simplePos="0" relativeHeight="251657215" behindDoc="0" locked="0" layoutInCell="1" allowOverlap="1" wp14:anchorId="6FCEC266" wp14:editId="55F362BB">
            <wp:simplePos x="0" y="0"/>
            <wp:positionH relativeFrom="margin">
              <wp:posOffset>296545</wp:posOffset>
            </wp:positionH>
            <wp:positionV relativeFrom="paragraph">
              <wp:posOffset>814705</wp:posOffset>
            </wp:positionV>
            <wp:extent cx="2564765" cy="2118360"/>
            <wp:effectExtent l="0" t="0" r="698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BEC">
        <w:rPr>
          <w:lang w:val="de"/>
        </w:rPr>
        <w:t xml:space="preserve">Die </w:t>
      </w:r>
      <w:r w:rsidR="00B4461F">
        <w:rPr>
          <w:lang w:val="de"/>
        </w:rPr>
        <w:t>Studierenden</w:t>
      </w:r>
      <w:r w:rsidR="006E00F5">
        <w:rPr>
          <w:lang w:val="de"/>
        </w:rPr>
        <w:t xml:space="preserve"> </w:t>
      </w:r>
      <w:r w:rsidR="00FD2BEC">
        <w:rPr>
          <w:lang w:val="de"/>
        </w:rPr>
        <w:t xml:space="preserve">können ihre Daten mithilfe einer Tabelle </w:t>
      </w:r>
      <w:r w:rsidR="006E00F5">
        <w:rPr>
          <w:lang w:val="de"/>
        </w:rPr>
        <w:t>oder Grafik darstellen</w:t>
      </w:r>
      <w:r w:rsidR="00491C14">
        <w:rPr>
          <w:lang w:val="de"/>
        </w:rPr>
        <w:t xml:space="preserve">. Der wohl am besten geeignete Weg </w:t>
      </w:r>
      <w:r w:rsidR="006E00F5">
        <w:rPr>
          <w:lang w:val="de"/>
        </w:rPr>
        <w:t>der Darstellung</w:t>
      </w:r>
      <w:r w:rsidR="00491C14">
        <w:rPr>
          <w:lang w:val="de"/>
        </w:rPr>
        <w:t xml:space="preserve"> besteht darin, sowohl Modellvorhersagen als auch Messdaten in derselben Abbildung </w:t>
      </w:r>
      <w:r w:rsidR="006E00F5">
        <w:rPr>
          <w:lang w:val="de"/>
        </w:rPr>
        <w:t>zu zeigen</w:t>
      </w:r>
      <w:r w:rsidR="00491C14">
        <w:rPr>
          <w:lang w:val="de"/>
        </w:rPr>
        <w:t>.</w:t>
      </w:r>
      <w:r w:rsidR="00E26DE9">
        <w:rPr>
          <w:lang w:val="de"/>
        </w:rPr>
        <w:t xml:space="preserve"> </w:t>
      </w:r>
      <w:r w:rsidR="007A02A0">
        <w:rPr>
          <w:lang w:val="de"/>
        </w:rPr>
        <w:fldChar w:fldCharType="begin"/>
      </w:r>
      <w:r w:rsidR="007A02A0">
        <w:rPr>
          <w:lang w:val="de"/>
        </w:rPr>
        <w:instrText xml:space="preserve"> REF _Ref97122374 \h </w:instrText>
      </w:r>
      <w:r w:rsidR="007A02A0">
        <w:rPr>
          <w:lang w:val="de"/>
        </w:rPr>
      </w:r>
      <w:r w:rsidR="00CA3CC8">
        <w:rPr>
          <w:lang w:val="de"/>
        </w:rPr>
        <w:instrText xml:space="preserve"> \* MERGEFORMAT </w:instrText>
      </w:r>
      <w:r w:rsidR="007A02A0">
        <w:rPr>
          <w:lang w:val="de"/>
        </w:rPr>
        <w:fldChar w:fldCharType="separate"/>
      </w:r>
      <w:r w:rsidR="00C50DAA">
        <w:rPr>
          <w:lang w:val="de"/>
        </w:rPr>
        <w:t xml:space="preserve">Abbildung </w:t>
      </w:r>
      <w:r w:rsidR="00C50DAA">
        <w:rPr>
          <w:noProof/>
          <w:lang w:val="de"/>
        </w:rPr>
        <w:t>3</w:t>
      </w:r>
      <w:r w:rsidR="007A02A0">
        <w:rPr>
          <w:lang w:val="de"/>
        </w:rPr>
        <w:fldChar w:fldCharType="end"/>
      </w:r>
      <w:r w:rsidR="00E26DE9">
        <w:rPr>
          <w:lang w:val="de"/>
        </w:rPr>
        <w:t xml:space="preserve"> zeige</w:t>
      </w:r>
      <w:r w:rsidR="006E00F5">
        <w:rPr>
          <w:lang w:val="de"/>
        </w:rPr>
        <w:t>t</w:t>
      </w:r>
      <w:r w:rsidR="00E26DE9">
        <w:rPr>
          <w:lang w:val="de"/>
        </w:rPr>
        <w:t xml:space="preserve"> Beispiele </w:t>
      </w:r>
      <w:r w:rsidR="006E00F5">
        <w:rPr>
          <w:lang w:val="de"/>
        </w:rPr>
        <w:t>da</w:t>
      </w:r>
      <w:r w:rsidR="00E26DE9">
        <w:rPr>
          <w:lang w:val="de"/>
        </w:rPr>
        <w:t>fü</w:t>
      </w:r>
      <w:r w:rsidR="006E00F5">
        <w:rPr>
          <w:lang w:val="de"/>
        </w:rPr>
        <w:t>r, w</w:t>
      </w:r>
      <w:r w:rsidR="00AB3D9A">
        <w:rPr>
          <w:lang w:val="de"/>
        </w:rPr>
        <w:t>ie die Daten aussehen könnten</w:t>
      </w:r>
      <w:r w:rsidR="006E00F5">
        <w:rPr>
          <w:lang w:val="de"/>
        </w:rPr>
        <w:t>,</w:t>
      </w:r>
      <w:r w:rsidR="00101A62">
        <w:rPr>
          <w:lang w:val="de"/>
        </w:rPr>
        <w:t xml:space="preserve"> </w:t>
      </w:r>
      <w:r w:rsidR="00AB3D9A">
        <w:rPr>
          <w:lang w:val="de"/>
        </w:rPr>
        <w:t>wenn die effektive Länge nicht berücksichtigt wird</w:t>
      </w:r>
      <w:r w:rsidR="00425BD9">
        <w:rPr>
          <w:lang w:val="de"/>
        </w:rPr>
        <w:t>.</w:t>
      </w:r>
      <w:r w:rsidR="00AB3D9A">
        <w:rPr>
          <w:lang w:val="de"/>
        </w:rPr>
        <w:t xml:space="preserve"> </w:t>
      </w:r>
    </w:p>
    <w:p w14:paraId="53E258E9" w14:textId="4C343C28" w:rsidR="0017182F" w:rsidRPr="000E0BF4" w:rsidRDefault="00ED1D2A" w:rsidP="00CA3CC8">
      <w:pPr>
        <w:jc w:val="both"/>
        <w:rPr>
          <w:lang w:val="de-DE"/>
        </w:rPr>
      </w:pPr>
      <w:r>
        <w:rPr>
          <w:lang w:val="de"/>
        </w:rPr>
        <w:t xml:space="preserve">Abbildung 3 </w:t>
      </w:r>
      <w:r w:rsidR="006E00F5">
        <w:rPr>
          <w:lang w:val="de"/>
        </w:rPr>
        <w:t>zeigt beispielhafte Daten für den Fall, dass</w:t>
      </w:r>
      <w:r w:rsidR="005B0177">
        <w:rPr>
          <w:lang w:val="de"/>
        </w:rPr>
        <w:t xml:space="preserve"> eine Schätzung der effektiven Länge</w:t>
      </w:r>
      <w:r w:rsidR="00FA7459">
        <w:rPr>
          <w:lang w:val="de"/>
        </w:rPr>
        <w:t xml:space="preserve"> </w:t>
      </w:r>
      <w:r w:rsidR="005B0177">
        <w:rPr>
          <w:lang w:val="de"/>
        </w:rPr>
        <w:t>aus der Literatur</w:t>
      </w:r>
      <w:r w:rsidR="00FA7459">
        <w:rPr>
          <w:lang w:val="de"/>
        </w:rPr>
        <w:t xml:space="preserve"> verwendet wird</w:t>
      </w:r>
      <w:r w:rsidR="001C0861">
        <w:rPr>
          <w:lang w:val="de"/>
        </w:rPr>
        <w:t>.</w:t>
      </w:r>
    </w:p>
    <w:p w14:paraId="0E081257" w14:textId="77777777" w:rsidR="00C94781" w:rsidRDefault="00431ABC" w:rsidP="00CA3CC8">
      <w:pPr>
        <w:keepNext/>
        <w:jc w:val="both"/>
      </w:pPr>
      <w:r>
        <w:rPr>
          <w:noProof/>
        </w:rPr>
        <w:drawing>
          <wp:inline distT="0" distB="0" distL="0" distR="0" wp14:anchorId="3AE2D9EB" wp14:editId="419B0671">
            <wp:extent cx="4190337" cy="3320822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592" cy="332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1A03F" w14:textId="0A1CE9CD" w:rsidR="00FD2BEC" w:rsidRPr="000E0BF4" w:rsidRDefault="00C94781" w:rsidP="00CA3CC8">
      <w:pPr>
        <w:pStyle w:val="Kuvaotsikko"/>
        <w:jc w:val="both"/>
        <w:rPr>
          <w:lang w:val="de-DE"/>
        </w:rPr>
      </w:pPr>
      <w:bookmarkStart w:id="4" w:name="_Ref97122374"/>
      <w:r>
        <w:rPr>
          <w:lang w:val="de"/>
        </w:rPr>
        <w:t xml:space="preserve">Abbildung </w:t>
      </w:r>
      <w:r w:rsidR="00F5781A">
        <w:rPr>
          <w:lang w:val="de"/>
        </w:rPr>
        <w:fldChar w:fldCharType="begin"/>
      </w:r>
      <w:r w:rsidR="00F5781A">
        <w:rPr>
          <w:lang w:val="de"/>
        </w:rPr>
        <w:instrText xml:space="preserve"> SEQ Figure \* ARABIC </w:instrText>
      </w:r>
      <w:r w:rsidR="00F5781A">
        <w:rPr>
          <w:lang w:val="de"/>
        </w:rPr>
        <w:fldChar w:fldCharType="separate"/>
      </w:r>
      <w:r w:rsidR="00C50DAA">
        <w:rPr>
          <w:noProof/>
          <w:lang w:val="de"/>
        </w:rPr>
        <w:t>3</w:t>
      </w:r>
      <w:r w:rsidR="00F5781A">
        <w:rPr>
          <w:noProof/>
          <w:lang w:val="de"/>
        </w:rPr>
        <w:fldChar w:fldCharType="end"/>
      </w:r>
      <w:bookmarkEnd w:id="4"/>
      <w:r w:rsidR="00635B53">
        <w:rPr>
          <w:lang w:val="de"/>
        </w:rPr>
        <w:t>: Beispie</w:t>
      </w:r>
      <w:r w:rsidR="004C2E7D">
        <w:rPr>
          <w:lang w:val="de"/>
        </w:rPr>
        <w:t xml:space="preserve">lhafte Darstellung </w:t>
      </w:r>
      <w:r w:rsidR="00635B53">
        <w:rPr>
          <w:lang w:val="de"/>
        </w:rPr>
        <w:t xml:space="preserve">der Frequenz in Abhängigkeit </w:t>
      </w:r>
      <w:r w:rsidR="008A2616">
        <w:rPr>
          <w:lang w:val="de"/>
        </w:rPr>
        <w:t>des</w:t>
      </w:r>
      <w:r w:rsidR="00635B53">
        <w:rPr>
          <w:lang w:val="de"/>
        </w:rPr>
        <w:t xml:space="preserve"> Luftvolumen</w:t>
      </w:r>
      <w:r w:rsidR="008A2616">
        <w:rPr>
          <w:lang w:val="de"/>
        </w:rPr>
        <w:t>s</w:t>
      </w:r>
      <w:r w:rsidR="00635B53">
        <w:rPr>
          <w:lang w:val="de"/>
        </w:rPr>
        <w:t xml:space="preserve"> im Flaschenhohlraum. Die Werte a = 0,6</w:t>
      </w:r>
      <w:r w:rsidR="008A2616">
        <w:rPr>
          <w:lang w:val="de"/>
        </w:rPr>
        <w:t>1 und</w:t>
      </w:r>
      <w:r w:rsidR="00635B53">
        <w:rPr>
          <w:lang w:val="de"/>
        </w:rPr>
        <w:t xml:space="preserve"> a = 1,4 wurden</w:t>
      </w:r>
      <w:r w:rsidR="00674A72">
        <w:rPr>
          <w:lang w:val="de"/>
        </w:rPr>
        <w:t xml:space="preserve"> als Parameter für die effektive Länge für die offene</w:t>
      </w:r>
      <w:r>
        <w:rPr>
          <w:lang w:val="de"/>
        </w:rPr>
        <w:t xml:space="preserve"> </w:t>
      </w:r>
      <w:r w:rsidR="00AD7066">
        <w:rPr>
          <w:lang w:val="de"/>
        </w:rPr>
        <w:t>Röhre bzw. Helmholtz-</w:t>
      </w:r>
      <w:r w:rsidR="004E4D70">
        <w:rPr>
          <w:lang w:val="de"/>
        </w:rPr>
        <w:t>Resonator Modelle</w:t>
      </w:r>
      <w:r w:rsidR="00AD7066">
        <w:rPr>
          <w:lang w:val="de"/>
        </w:rPr>
        <w:t xml:space="preserve"> verwendet.</w:t>
      </w:r>
      <w:r w:rsidR="00635B53">
        <w:rPr>
          <w:lang w:val="de"/>
        </w:rPr>
        <w:t xml:space="preserve"> </w:t>
      </w:r>
    </w:p>
    <w:p w14:paraId="294F8F8C" w14:textId="77777777" w:rsidR="00055142" w:rsidRDefault="00055142" w:rsidP="00CA3CC8">
      <w:pPr>
        <w:jc w:val="both"/>
        <w:rPr>
          <w:lang w:val="de"/>
        </w:rPr>
      </w:pPr>
    </w:p>
    <w:p w14:paraId="71670578" w14:textId="6D59CE63" w:rsidR="00EA64D9" w:rsidRPr="000E0BF4" w:rsidRDefault="007E5485" w:rsidP="00CA3CC8">
      <w:pPr>
        <w:jc w:val="both"/>
        <w:rPr>
          <w:lang w:val="de-DE"/>
        </w:rPr>
      </w:pPr>
      <w:r>
        <w:rPr>
          <w:lang w:val="de"/>
        </w:rPr>
        <w:lastRenderedPageBreak/>
        <w:t xml:space="preserve">Hier ist </w:t>
      </w:r>
      <w:r w:rsidR="004C2E7D">
        <w:rPr>
          <w:lang w:val="de"/>
        </w:rPr>
        <w:t>anzumerken,</w:t>
      </w:r>
      <w:r>
        <w:rPr>
          <w:lang w:val="de"/>
        </w:rPr>
        <w:t xml:space="preserve"> dass es besonders interessant ist zu beobachten</w:t>
      </w:r>
      <w:r w:rsidR="004C2E7D">
        <w:rPr>
          <w:lang w:val="de"/>
        </w:rPr>
        <w:t xml:space="preserve"> </w:t>
      </w:r>
      <w:r>
        <w:rPr>
          <w:lang w:val="de"/>
        </w:rPr>
        <w:t xml:space="preserve">was passiert, wenn die Flasche nahe am Hals und darüber hinaus gefüllt wird. </w:t>
      </w:r>
      <w:r w:rsidR="0065081B">
        <w:rPr>
          <w:lang w:val="de"/>
        </w:rPr>
        <w:t xml:space="preserve">Verschiedene Formen und Größen der Flasche beeinflussen die Ergebnisse </w:t>
      </w:r>
      <w:r w:rsidR="004C2E7D">
        <w:rPr>
          <w:lang w:val="de"/>
        </w:rPr>
        <w:t>natürlich deutlich. U</w:t>
      </w:r>
      <w:r w:rsidR="00A85C13">
        <w:rPr>
          <w:lang w:val="de"/>
        </w:rPr>
        <w:t>m die Grenzen der Modelle ausloten zu können, wird eine langhalsige Flasche bevorzugt.</w:t>
      </w:r>
    </w:p>
    <w:p w14:paraId="3A561642" w14:textId="56CD5142" w:rsidR="008219BE" w:rsidRPr="000E0BF4" w:rsidRDefault="008219BE" w:rsidP="00CA3CC8">
      <w:pPr>
        <w:jc w:val="both"/>
        <w:rPr>
          <w:lang w:val="de-DE"/>
        </w:rPr>
      </w:pPr>
      <w:r>
        <w:rPr>
          <w:lang w:val="de"/>
        </w:rPr>
        <w:t xml:space="preserve">Die </w:t>
      </w:r>
      <w:r w:rsidR="00B4461F">
        <w:rPr>
          <w:lang w:val="de"/>
        </w:rPr>
        <w:t>Studierenden</w:t>
      </w:r>
      <w:r w:rsidR="004C2E7D">
        <w:rPr>
          <w:lang w:val="de"/>
        </w:rPr>
        <w:t xml:space="preserve"> </w:t>
      </w:r>
      <w:r>
        <w:rPr>
          <w:lang w:val="de"/>
        </w:rPr>
        <w:t xml:space="preserve">können auch versuchen, die Diagramme wie in </w:t>
      </w:r>
      <w:r w:rsidR="00CF07F5">
        <w:rPr>
          <w:lang w:val="de"/>
        </w:rPr>
        <w:fldChar w:fldCharType="begin"/>
      </w:r>
      <w:r w:rsidR="00CF07F5">
        <w:rPr>
          <w:lang w:val="de"/>
        </w:rPr>
        <w:instrText xml:space="preserve"> REF _Ref97122450 \h </w:instrText>
      </w:r>
      <w:r w:rsidR="00CF07F5">
        <w:rPr>
          <w:lang w:val="de"/>
        </w:rPr>
      </w:r>
      <w:r w:rsidR="00CA3CC8">
        <w:rPr>
          <w:lang w:val="de"/>
        </w:rPr>
        <w:instrText xml:space="preserve"> \* MERGEFORMAT </w:instrText>
      </w:r>
      <w:r w:rsidR="00CF07F5">
        <w:rPr>
          <w:lang w:val="de"/>
        </w:rPr>
        <w:fldChar w:fldCharType="separate"/>
      </w:r>
      <w:r w:rsidR="00C50DAA">
        <w:rPr>
          <w:lang w:val="de"/>
        </w:rPr>
        <w:t xml:space="preserve">Abbildung </w:t>
      </w:r>
      <w:r w:rsidR="00C50DAA">
        <w:rPr>
          <w:noProof/>
          <w:lang w:val="de"/>
        </w:rPr>
        <w:t>4</w:t>
      </w:r>
      <w:r w:rsidR="00CF07F5">
        <w:rPr>
          <w:lang w:val="de"/>
        </w:rPr>
        <w:fldChar w:fldCharType="end"/>
      </w:r>
      <w:r w:rsidR="00B55634">
        <w:rPr>
          <w:lang w:val="de"/>
        </w:rPr>
        <w:t xml:space="preserve">das Verhalten der Daten besser visualisieren und Vorhersagen in Bezug auf die </w:t>
      </w:r>
      <w:r w:rsidR="00FE00A8">
        <w:rPr>
          <w:lang w:val="de"/>
        </w:rPr>
        <w:t>unabhängige Variable</w:t>
      </w:r>
      <w:r>
        <w:rPr>
          <w:lang w:val="de"/>
        </w:rPr>
        <w:t xml:space="preserve"> modellieren</w:t>
      </w:r>
      <w:r w:rsidR="00D3586C">
        <w:rPr>
          <w:lang w:val="de"/>
        </w:rPr>
        <w:t xml:space="preserve"> zu können</w:t>
      </w:r>
      <w:r>
        <w:rPr>
          <w:lang w:val="de"/>
        </w:rPr>
        <w:t>.</w:t>
      </w:r>
    </w:p>
    <w:p w14:paraId="133820DD" w14:textId="77777777" w:rsidR="00C97120" w:rsidRDefault="008219BE" w:rsidP="00CA3CC8">
      <w:pPr>
        <w:keepNext/>
        <w:jc w:val="both"/>
      </w:pPr>
      <w:r w:rsidRPr="008219BE">
        <w:rPr>
          <w:noProof/>
        </w:rPr>
        <w:drawing>
          <wp:inline distT="0" distB="0" distL="0" distR="0" wp14:anchorId="79B5D9A0" wp14:editId="4A380B87">
            <wp:extent cx="5343525" cy="425141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55839" cy="426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51D0F" w14:textId="5873CB0F" w:rsidR="008219BE" w:rsidRPr="004822A6" w:rsidRDefault="00C97120" w:rsidP="00CA3CC8">
      <w:pPr>
        <w:pStyle w:val="Kuvaotsikko"/>
        <w:jc w:val="both"/>
        <w:rPr>
          <w:lang w:val="de"/>
        </w:rPr>
      </w:pPr>
      <w:bookmarkStart w:id="5" w:name="_Ref97122450"/>
      <w:bookmarkStart w:id="6" w:name="_Ref97122454"/>
      <w:r>
        <w:rPr>
          <w:lang w:val="de"/>
        </w:rPr>
        <w:t xml:space="preserve">Abbildung </w:t>
      </w:r>
      <w:r>
        <w:rPr>
          <w:lang w:val="de"/>
        </w:rPr>
        <w:fldChar w:fldCharType="begin"/>
      </w:r>
      <w:r>
        <w:rPr>
          <w:lang w:val="de"/>
        </w:rPr>
        <w:instrText>SEQ Figure \* ARABIC</w:instrText>
      </w:r>
      <w:r>
        <w:rPr>
          <w:lang w:val="de"/>
        </w:rPr>
        <w:fldChar w:fldCharType="separate"/>
      </w:r>
      <w:r w:rsidR="00C50DAA">
        <w:rPr>
          <w:noProof/>
          <w:lang w:val="de"/>
        </w:rPr>
        <w:t>4</w:t>
      </w:r>
      <w:r>
        <w:rPr>
          <w:lang w:val="de"/>
        </w:rPr>
        <w:fldChar w:fldCharType="end"/>
      </w:r>
      <w:bookmarkEnd w:id="5"/>
      <w:r w:rsidR="001C4657">
        <w:rPr>
          <w:lang w:val="de"/>
        </w:rPr>
        <w:t xml:space="preserve">: </w:t>
      </w:r>
      <w:r w:rsidR="00D8793B">
        <w:rPr>
          <w:lang w:val="de"/>
        </w:rPr>
        <w:t>Beispielhafter Verlauf</w:t>
      </w:r>
      <w:r w:rsidR="001C4657">
        <w:rPr>
          <w:lang w:val="de"/>
        </w:rPr>
        <w:t xml:space="preserve"> </w:t>
      </w:r>
      <w:r w:rsidR="00D8793B">
        <w:rPr>
          <w:lang w:val="de"/>
        </w:rPr>
        <w:t>der</w:t>
      </w:r>
      <w:r w:rsidR="001C4657">
        <w:rPr>
          <w:lang w:val="de"/>
        </w:rPr>
        <w:t xml:space="preserve"> Frequenz als Funktion der </w:t>
      </w:r>
      <w:r w:rsidR="008A2616">
        <w:rPr>
          <w:lang w:val="de"/>
        </w:rPr>
        <w:t>invertierten</w:t>
      </w:r>
      <w:r w:rsidR="001C4657">
        <w:rPr>
          <w:lang w:val="de"/>
        </w:rPr>
        <w:t xml:space="preserve"> Länge der Luftsäule in der Flasche. Man sieht, dass sich die Daten nicht linear wie </w:t>
      </w:r>
      <w:r w:rsidR="004E4D70">
        <w:rPr>
          <w:lang w:val="de"/>
        </w:rPr>
        <w:t>bei einem</w:t>
      </w:r>
      <w:r w:rsidR="001C4657">
        <w:rPr>
          <w:lang w:val="de"/>
        </w:rPr>
        <w:t xml:space="preserve"> offen-geschlossene</w:t>
      </w:r>
      <w:r w:rsidR="004E4D70">
        <w:rPr>
          <w:lang w:val="de"/>
        </w:rPr>
        <w:t>n</w:t>
      </w:r>
      <w:r w:rsidR="001C4657">
        <w:rPr>
          <w:lang w:val="de"/>
        </w:rPr>
        <w:t xml:space="preserve"> Röhrchen verhalten, </w:t>
      </w:r>
      <w:r w:rsidR="00D8793B">
        <w:rPr>
          <w:lang w:val="de"/>
        </w:rPr>
        <w:t>es sei denn</w:t>
      </w:r>
      <w:r w:rsidR="001C4657">
        <w:rPr>
          <w:lang w:val="de"/>
        </w:rPr>
        <w:t xml:space="preserve"> die Flasche </w:t>
      </w:r>
      <w:r w:rsidR="00D8793B">
        <w:rPr>
          <w:lang w:val="de"/>
        </w:rPr>
        <w:t xml:space="preserve">ist </w:t>
      </w:r>
      <w:r w:rsidR="001C4657">
        <w:rPr>
          <w:lang w:val="de"/>
        </w:rPr>
        <w:t>bis zum zylindrischen Hals gefüllt.</w:t>
      </w:r>
      <w:bookmarkEnd w:id="6"/>
    </w:p>
    <w:p w14:paraId="4A06EDE7" w14:textId="77777777" w:rsidR="00CA3CC8" w:rsidRDefault="00CA3CC8" w:rsidP="00CA3CC8">
      <w:pPr>
        <w:pStyle w:val="Otsikko4"/>
        <w:jc w:val="both"/>
        <w:rPr>
          <w:lang w:val="de"/>
        </w:rPr>
      </w:pPr>
    </w:p>
    <w:p w14:paraId="0100282B" w14:textId="39FD6B37" w:rsidR="00D70C66" w:rsidRPr="000E0BF4" w:rsidRDefault="004C2E7D" w:rsidP="00CA3CC8">
      <w:pPr>
        <w:pStyle w:val="Otsikko4"/>
        <w:jc w:val="both"/>
        <w:rPr>
          <w:lang w:val="de-DE"/>
        </w:rPr>
      </w:pPr>
      <w:r>
        <w:rPr>
          <w:lang w:val="de"/>
        </w:rPr>
        <w:t>Bericht</w:t>
      </w:r>
    </w:p>
    <w:p w14:paraId="69D3E9B7" w14:textId="288EE834" w:rsidR="00350AE4" w:rsidRPr="000E0BF4" w:rsidRDefault="00E655CD" w:rsidP="00CA3CC8">
      <w:pPr>
        <w:jc w:val="both"/>
        <w:rPr>
          <w:lang w:val="de-DE"/>
        </w:rPr>
      </w:pPr>
      <w:r>
        <w:rPr>
          <w:lang w:val="de"/>
        </w:rPr>
        <w:t xml:space="preserve">Wir haben eine prägnante Diashow als Beispiel für einen Bericht verwendet, den die </w:t>
      </w:r>
      <w:r w:rsidR="00B4461F">
        <w:rPr>
          <w:lang w:val="de"/>
        </w:rPr>
        <w:t>Studierenden</w:t>
      </w:r>
      <w:r w:rsidR="004C2E7D">
        <w:rPr>
          <w:lang w:val="de"/>
        </w:rPr>
        <w:t xml:space="preserve"> </w:t>
      </w:r>
      <w:r>
        <w:rPr>
          <w:lang w:val="de"/>
        </w:rPr>
        <w:t>aus diesem Experiment erstellen können</w:t>
      </w:r>
      <w:r w:rsidR="00D90098">
        <w:rPr>
          <w:lang w:val="de"/>
        </w:rPr>
        <w:t xml:space="preserve">. Es ist wichtig, dass die </w:t>
      </w:r>
      <w:r w:rsidR="004C2E7D">
        <w:rPr>
          <w:lang w:val="de"/>
        </w:rPr>
        <w:t>Lehrenden</w:t>
      </w:r>
      <w:r w:rsidR="00D90098">
        <w:rPr>
          <w:lang w:val="de"/>
        </w:rPr>
        <w:t xml:space="preserve"> den </w:t>
      </w:r>
      <w:r w:rsidR="00B4461F">
        <w:rPr>
          <w:lang w:val="de"/>
        </w:rPr>
        <w:t>Studierenden</w:t>
      </w:r>
      <w:r w:rsidR="00D90098">
        <w:rPr>
          <w:lang w:val="de"/>
        </w:rPr>
        <w:t xml:space="preserve"> ihre eigenen Kriterien dafür geben, </w:t>
      </w:r>
      <w:r w:rsidR="00C41F10">
        <w:rPr>
          <w:lang w:val="de"/>
        </w:rPr>
        <w:t xml:space="preserve">was von </w:t>
      </w:r>
      <w:r w:rsidR="004C2E7D">
        <w:rPr>
          <w:lang w:val="de"/>
        </w:rPr>
        <w:t>ihnen</w:t>
      </w:r>
      <w:r w:rsidR="00831825">
        <w:rPr>
          <w:lang w:val="de"/>
        </w:rPr>
        <w:t xml:space="preserve"> </w:t>
      </w:r>
      <w:r w:rsidR="004C2E7D">
        <w:rPr>
          <w:lang w:val="de"/>
        </w:rPr>
        <w:t xml:space="preserve">bei der </w:t>
      </w:r>
      <w:r w:rsidR="00831825">
        <w:rPr>
          <w:lang w:val="de"/>
        </w:rPr>
        <w:t xml:space="preserve">Bewertung </w:t>
      </w:r>
      <w:r w:rsidR="005B3EBF">
        <w:rPr>
          <w:lang w:val="de"/>
        </w:rPr>
        <w:t xml:space="preserve">erwartet wird. </w:t>
      </w:r>
      <w:r w:rsidR="00087178">
        <w:rPr>
          <w:lang w:val="de"/>
        </w:rPr>
        <w:t xml:space="preserve">Die Herleitung der Helmholtz-Resonanzfrequenz kann auch als </w:t>
      </w:r>
      <w:r w:rsidR="004C2E7D">
        <w:rPr>
          <w:lang w:val="de"/>
        </w:rPr>
        <w:t xml:space="preserve">sich anschließende </w:t>
      </w:r>
      <w:r w:rsidR="00087178">
        <w:rPr>
          <w:lang w:val="de"/>
        </w:rPr>
        <w:t xml:space="preserve">Übung </w:t>
      </w:r>
      <w:r w:rsidR="004C2E7D">
        <w:rPr>
          <w:lang w:val="de"/>
        </w:rPr>
        <w:t>vorgegeben</w:t>
      </w:r>
      <w:r w:rsidR="00087178">
        <w:rPr>
          <w:lang w:val="de"/>
        </w:rPr>
        <w:t xml:space="preserve"> werden.</w:t>
      </w:r>
    </w:p>
    <w:p w14:paraId="5BFF04EC" w14:textId="556AC159" w:rsidR="472ED884" w:rsidRDefault="007F4953" w:rsidP="00CA3CC8">
      <w:pPr>
        <w:pStyle w:val="Otsikko2"/>
        <w:jc w:val="both"/>
      </w:pPr>
      <w:r>
        <w:rPr>
          <w:lang w:val="de"/>
        </w:rPr>
        <w:t xml:space="preserve">Mögliche </w:t>
      </w:r>
      <w:r w:rsidR="004C2E7D">
        <w:rPr>
          <w:lang w:val="de"/>
        </w:rPr>
        <w:t>Anpassungen</w:t>
      </w:r>
    </w:p>
    <w:p w14:paraId="12B0BD2F" w14:textId="32680A52" w:rsidR="007F4953" w:rsidRPr="000E0BF4" w:rsidRDefault="00283D4E" w:rsidP="00CA3CC8">
      <w:pPr>
        <w:pStyle w:val="Luettelokappale"/>
        <w:numPr>
          <w:ilvl w:val="0"/>
          <w:numId w:val="4"/>
        </w:numPr>
        <w:jc w:val="both"/>
        <w:rPr>
          <w:rFonts w:eastAsiaTheme="minorEastAsia"/>
          <w:lang w:val="de-DE"/>
        </w:rPr>
      </w:pPr>
      <w:r>
        <w:rPr>
          <w:lang w:val="de"/>
        </w:rPr>
        <w:t xml:space="preserve">Wenn die Zeit für das Experiment begrenzt ist, </w:t>
      </w:r>
      <w:r w:rsidR="004C2E7D">
        <w:rPr>
          <w:lang w:val="de"/>
        </w:rPr>
        <w:t>können</w:t>
      </w:r>
      <w:r>
        <w:rPr>
          <w:lang w:val="de"/>
        </w:rPr>
        <w:t xml:space="preserve"> die Dozenten den </w:t>
      </w:r>
      <w:r w:rsidR="00B4461F">
        <w:rPr>
          <w:lang w:val="de"/>
        </w:rPr>
        <w:t>Studierenden</w:t>
      </w:r>
      <w:r>
        <w:rPr>
          <w:lang w:val="de"/>
        </w:rPr>
        <w:t xml:space="preserve"> möglicherweise </w:t>
      </w:r>
      <w:r w:rsidR="004C2E7D">
        <w:rPr>
          <w:lang w:val="de"/>
        </w:rPr>
        <w:t>ein geeignetes</w:t>
      </w:r>
      <w:r>
        <w:rPr>
          <w:lang w:val="de"/>
        </w:rPr>
        <w:t xml:space="preserve"> </w:t>
      </w:r>
      <w:r w:rsidR="004C2E7D">
        <w:rPr>
          <w:lang w:val="de"/>
        </w:rPr>
        <w:t>Tool</w:t>
      </w:r>
      <w:r>
        <w:rPr>
          <w:lang w:val="de"/>
        </w:rPr>
        <w:t xml:space="preserve"> </w:t>
      </w:r>
      <w:r w:rsidR="004C2E7D">
        <w:rPr>
          <w:lang w:val="de"/>
        </w:rPr>
        <w:t>vorgeben</w:t>
      </w:r>
      <w:r>
        <w:rPr>
          <w:lang w:val="de"/>
        </w:rPr>
        <w:t xml:space="preserve">, das sie in der </w:t>
      </w:r>
      <w:r w:rsidR="004C2E7D">
        <w:rPr>
          <w:lang w:val="de"/>
        </w:rPr>
        <w:t>App</w:t>
      </w:r>
      <w:r>
        <w:rPr>
          <w:lang w:val="de"/>
        </w:rPr>
        <w:t xml:space="preserve"> verwenden können (z. B. Audio-Autokorrelation in phyphox).</w:t>
      </w:r>
    </w:p>
    <w:p w14:paraId="7C7703F0" w14:textId="4E964005" w:rsidR="00813900" w:rsidRPr="000E0BF4" w:rsidRDefault="005B4B8B" w:rsidP="00CA3CC8">
      <w:pPr>
        <w:pStyle w:val="Luettelokappale"/>
        <w:numPr>
          <w:ilvl w:val="0"/>
          <w:numId w:val="4"/>
        </w:numPr>
        <w:jc w:val="both"/>
        <w:rPr>
          <w:lang w:val="de-DE"/>
        </w:rPr>
      </w:pPr>
      <w:r>
        <w:rPr>
          <w:lang w:val="de"/>
        </w:rPr>
        <w:t xml:space="preserve">Weitere </w:t>
      </w:r>
      <w:r w:rsidR="004C2E7D">
        <w:rPr>
          <w:lang w:val="de"/>
        </w:rPr>
        <w:t>Unterstützung</w:t>
      </w:r>
      <w:r>
        <w:rPr>
          <w:lang w:val="de"/>
        </w:rPr>
        <w:t xml:space="preserve"> </w:t>
      </w:r>
      <w:r w:rsidR="004C2E7D">
        <w:rPr>
          <w:lang w:val="de"/>
        </w:rPr>
        <w:t>kann</w:t>
      </w:r>
      <w:r>
        <w:rPr>
          <w:lang w:val="de"/>
        </w:rPr>
        <w:t xml:space="preserve"> den </w:t>
      </w:r>
      <w:r w:rsidR="00B4461F">
        <w:rPr>
          <w:lang w:val="de"/>
        </w:rPr>
        <w:t>Studierenden</w:t>
      </w:r>
      <w:r>
        <w:rPr>
          <w:lang w:val="de"/>
        </w:rPr>
        <w:t xml:space="preserve"> in der Datendarstellungsphase zur Verfügung gestellt werden. Die </w:t>
      </w:r>
      <w:r w:rsidR="00B4461F">
        <w:rPr>
          <w:lang w:val="de"/>
        </w:rPr>
        <w:t>Studierenden</w:t>
      </w:r>
      <w:r w:rsidR="004C2E7D">
        <w:rPr>
          <w:lang w:val="de"/>
        </w:rPr>
        <w:t xml:space="preserve"> </w:t>
      </w:r>
      <w:r>
        <w:rPr>
          <w:lang w:val="de"/>
        </w:rPr>
        <w:t xml:space="preserve">sind möglicherweise nicht damit vertraut, mehr als einen </w:t>
      </w:r>
      <w:r>
        <w:rPr>
          <w:lang w:val="de"/>
        </w:rPr>
        <w:lastRenderedPageBreak/>
        <w:t>Satz von Datenpunkten in einer Abbildung darzustellen</w:t>
      </w:r>
      <w:r w:rsidR="004C2E7D">
        <w:rPr>
          <w:lang w:val="de"/>
        </w:rPr>
        <w:t>. Die</w:t>
      </w:r>
      <w:r>
        <w:rPr>
          <w:lang w:val="de"/>
        </w:rPr>
        <w:t xml:space="preserve"> Bereitstellung von </w:t>
      </w:r>
      <w:r w:rsidR="004C2E7D">
        <w:rPr>
          <w:lang w:val="de"/>
        </w:rPr>
        <w:t>Anleitungen</w:t>
      </w:r>
      <w:r>
        <w:rPr>
          <w:lang w:val="de"/>
        </w:rPr>
        <w:t xml:space="preserve"> kann den </w:t>
      </w:r>
      <w:r w:rsidR="00B4461F">
        <w:rPr>
          <w:lang w:val="de"/>
        </w:rPr>
        <w:t>Studierenden</w:t>
      </w:r>
      <w:r>
        <w:rPr>
          <w:lang w:val="de"/>
        </w:rPr>
        <w:t xml:space="preserve"> helfen, dies zu üben.</w:t>
      </w:r>
      <w:r w:rsidR="691E1F17">
        <w:rPr>
          <w:lang w:val="de"/>
        </w:rPr>
        <w:t xml:space="preserve"> Man kann </w:t>
      </w:r>
      <w:r w:rsidR="004C2E7D">
        <w:rPr>
          <w:lang w:val="de"/>
        </w:rPr>
        <w:t xml:space="preserve">alternativ </w:t>
      </w:r>
      <w:r w:rsidR="691E1F17">
        <w:rPr>
          <w:lang w:val="de"/>
        </w:rPr>
        <w:t xml:space="preserve">auch </w:t>
      </w:r>
      <w:r w:rsidR="004C2E7D">
        <w:rPr>
          <w:lang w:val="de"/>
        </w:rPr>
        <w:t xml:space="preserve">separate </w:t>
      </w:r>
      <w:r w:rsidR="691E1F17">
        <w:rPr>
          <w:lang w:val="de"/>
        </w:rPr>
        <w:t xml:space="preserve">Diagramme der Daten </w:t>
      </w:r>
      <w:r w:rsidR="004C2E7D">
        <w:rPr>
          <w:lang w:val="de"/>
        </w:rPr>
        <w:t>für jedes</w:t>
      </w:r>
      <w:r w:rsidR="691E1F17">
        <w:rPr>
          <w:lang w:val="de"/>
        </w:rPr>
        <w:t xml:space="preserve"> Modell akzeptieren.</w:t>
      </w:r>
    </w:p>
    <w:p w14:paraId="0D789F3F" w14:textId="77777777" w:rsidR="007F4953" w:rsidRPr="000E0BF4" w:rsidRDefault="007F4953" w:rsidP="00CA3CC8">
      <w:pPr>
        <w:jc w:val="both"/>
        <w:rPr>
          <w:lang w:val="de-DE"/>
        </w:rPr>
      </w:pPr>
    </w:p>
    <w:p w14:paraId="2C078E63" w14:textId="4F5915C8" w:rsidR="009F3AE4" w:rsidRPr="000E0BF4" w:rsidRDefault="07A2E7C9" w:rsidP="00CA3CC8">
      <w:pPr>
        <w:pStyle w:val="Otsikko2"/>
        <w:jc w:val="both"/>
        <w:rPr>
          <w:lang w:val="de-DE"/>
        </w:rPr>
      </w:pPr>
      <w:r>
        <w:rPr>
          <w:lang w:val="de"/>
        </w:rPr>
        <w:t>Herleitung der Helmholtz-Resonanzfrequenz</w:t>
      </w:r>
    </w:p>
    <w:p w14:paraId="615D5173" w14:textId="27CF1E66" w:rsidR="00EC6A9E" w:rsidRPr="000E0BF4" w:rsidRDefault="00562131" w:rsidP="00CA3CC8">
      <w:pPr>
        <w:jc w:val="both"/>
        <w:rPr>
          <w:lang w:val="de-DE"/>
        </w:rPr>
      </w:pPr>
      <w:r>
        <w:rPr>
          <w:lang w:val="de"/>
        </w:rPr>
        <w:t xml:space="preserve">Die Herleitung der Resonanzfrequenz kann </w:t>
      </w:r>
      <w:r w:rsidR="004C2E7D">
        <w:rPr>
          <w:lang w:val="de"/>
        </w:rPr>
        <w:t xml:space="preserve">den Studierenden entweder vor oder nach dem Experimentieren </w:t>
      </w:r>
      <w:r>
        <w:rPr>
          <w:lang w:val="de"/>
        </w:rPr>
        <w:t xml:space="preserve">als Aufgabe </w:t>
      </w:r>
      <w:r w:rsidR="004C2E7D">
        <w:rPr>
          <w:lang w:val="de"/>
        </w:rPr>
        <w:t>gestellt</w:t>
      </w:r>
      <w:r w:rsidR="00EC6A9E">
        <w:rPr>
          <w:lang w:val="de"/>
        </w:rPr>
        <w:t xml:space="preserve"> werden.</w:t>
      </w:r>
    </w:p>
    <w:p w14:paraId="7062C0F5" w14:textId="7EC519AE" w:rsidR="00CB6AB3" w:rsidRDefault="07A2E7C9" w:rsidP="00CA3CC8">
      <w:pPr>
        <w:jc w:val="both"/>
      </w:pPr>
      <w:r>
        <w:rPr>
          <w:lang w:val="de"/>
        </w:rPr>
        <w:t xml:space="preserve">Es </w:t>
      </w:r>
      <w:r w:rsidR="00D8793B">
        <w:rPr>
          <w:lang w:val="de"/>
        </w:rPr>
        <w:t>befinde sich</w:t>
      </w:r>
      <w:r>
        <w:rPr>
          <w:lang w:val="de"/>
        </w:rPr>
        <w:t xml:space="preserve"> eine Masse </w:t>
      </w:r>
      <w:r w:rsidRPr="0F33308A">
        <w:rPr>
          <w:i/>
          <w:iCs/>
          <w:lang w:val="de"/>
        </w:rPr>
        <w:t>m</w:t>
      </w:r>
      <w:r w:rsidRPr="171EDEFD">
        <w:rPr>
          <w:lang w:val="de"/>
        </w:rPr>
        <w:t xml:space="preserve"> </w:t>
      </w:r>
      <w:r w:rsidR="004C2E7D">
        <w:rPr>
          <w:lang w:val="de"/>
        </w:rPr>
        <w:t xml:space="preserve">an </w:t>
      </w:r>
      <w:r w:rsidRPr="171EDEFD">
        <w:rPr>
          <w:lang w:val="de"/>
        </w:rPr>
        <w:t xml:space="preserve">Luft im </w:t>
      </w:r>
      <w:r w:rsidR="00CB61ED">
        <w:rPr>
          <w:lang w:val="de"/>
        </w:rPr>
        <w:t>Resonatorhals</w:t>
      </w:r>
      <w:r w:rsidRPr="171EDEFD">
        <w:rPr>
          <w:lang w:val="de"/>
        </w:rPr>
        <w:t xml:space="preserve"> der Länge </w:t>
      </w:r>
      <w:r w:rsidRPr="0F33308A">
        <w:rPr>
          <w:i/>
          <w:iCs/>
          <w:lang w:val="de"/>
        </w:rPr>
        <w:t>L</w:t>
      </w:r>
      <w:r w:rsidRPr="171EDEFD">
        <w:rPr>
          <w:lang w:val="de"/>
        </w:rPr>
        <w:t xml:space="preserve">. Wenn diese Luft um eine kleine Länge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de-DE"/>
          </w:rPr>
          <m:t> </m:t>
        </m:r>
      </m:oMath>
      <w:r w:rsidR="11B896CB">
        <w:rPr>
          <w:lang w:val="de"/>
        </w:rPr>
        <w:t xml:space="preserve"> </w:t>
      </w:r>
      <w:r>
        <w:rPr>
          <w:lang w:val="de"/>
        </w:rPr>
        <w:t>verschoben wird</w:t>
      </w:r>
      <w:r w:rsidR="00CB61ED">
        <w:rPr>
          <w:lang w:val="de"/>
        </w:rPr>
        <w:t>, wird das Volumen im Hohlraum</w:t>
      </w:r>
      <w:r>
        <w:rPr>
          <w:lang w:val="de"/>
        </w:rPr>
        <w:t xml:space="preserve"> </w:t>
      </w:r>
      <w:r w:rsidR="004C2E7D">
        <w:rPr>
          <w:lang w:val="de"/>
        </w:rPr>
        <w:t>zu</w:t>
      </w:r>
      <w:r w:rsidR="00D8793B">
        <w:rPr>
          <w:lang w:val="de"/>
        </w:rPr>
        <w:t xml:space="preserve"> </w:t>
      </w:r>
      <m:oMath>
        <m:r>
          <w:rPr>
            <w:rFonts w:ascii="Cambria Math" w:hAnsi="Cambria Math"/>
            <w:lang w:val="de"/>
          </w:rPr>
          <m:t>V+δV</m:t>
        </m:r>
      </m:oMath>
      <w:r w:rsidR="004C2E7D">
        <w:rPr>
          <w:lang w:val="de"/>
        </w:rPr>
        <w:t xml:space="preserve"> </w:t>
      </w:r>
      <w:r w:rsidR="00CE1B0E" w:rsidRPr="00D8793B">
        <w:rPr>
          <w:lang w:val="de"/>
        </w:rPr>
        <w:t xml:space="preserve">und der Druck wird </w:t>
      </w:r>
      <m:oMath>
        <m:r>
          <w:rPr>
            <w:rFonts w:ascii="Cambria Math" w:hAnsi="Cambria Math"/>
            <w:lang w:val="de"/>
          </w:rPr>
          <m:t>p+δp</m:t>
        </m:r>
      </m:oMath>
      <w:r w:rsidR="00CE1B0E" w:rsidRPr="00D8793B">
        <w:rPr>
          <w:lang w:val="de"/>
        </w:rPr>
        <w:t>.</w:t>
      </w:r>
      <w:r>
        <w:rPr>
          <w:lang w:val="de"/>
        </w:rPr>
        <w:t xml:space="preserve"> </w:t>
      </w:r>
      <w:r w:rsidR="00986221">
        <w:rPr>
          <w:lang w:val="de"/>
        </w:rPr>
        <w:t xml:space="preserve">Wir können davon ausgehen, dass </w:t>
      </w:r>
      <w:r w:rsidR="000E5C6E">
        <w:rPr>
          <w:lang w:val="de"/>
        </w:rPr>
        <w:t xml:space="preserve">dieser Prozess schnell ist und Wärme keine Zeit hat, </w:t>
      </w:r>
      <w:r w:rsidR="00D8793B">
        <w:rPr>
          <w:lang w:val="de"/>
        </w:rPr>
        <w:t xml:space="preserve">um </w:t>
      </w:r>
      <w:r w:rsidR="000E5C6E">
        <w:rPr>
          <w:lang w:val="de"/>
        </w:rPr>
        <w:t>übertragen</w:t>
      </w:r>
      <w:r w:rsidR="00D8793B">
        <w:rPr>
          <w:lang w:val="de"/>
        </w:rPr>
        <w:t xml:space="preserve"> zu werden</w:t>
      </w:r>
      <w:r w:rsidR="000E5C6E">
        <w:rPr>
          <w:lang w:val="de"/>
        </w:rPr>
        <w:t>.</w:t>
      </w:r>
      <w:r>
        <w:rPr>
          <w:lang w:val="de"/>
        </w:rPr>
        <w:t xml:space="preserve"> </w:t>
      </w:r>
      <w:r w:rsidR="007147DF">
        <w:rPr>
          <w:lang w:val="de"/>
        </w:rPr>
        <w:t>D</w:t>
      </w:r>
      <w:r w:rsidR="00CB6AB3">
        <w:rPr>
          <w:lang w:val="de"/>
        </w:rPr>
        <w:t>as ist ein adiabatischer Prozess, für den</w:t>
      </w:r>
    </w:p>
    <w:p w14:paraId="459ACFE2" w14:textId="3B66E0F2" w:rsidR="00090A04" w:rsidRPr="006202AD" w:rsidRDefault="00496B94" w:rsidP="00CA3CC8">
      <w:pPr>
        <w:jc w:val="both"/>
        <w:rPr>
          <w:rFonts w:eastAsiaTheme="minorEastAsia" w:cstheme="minorHAnsi"/>
        </w:rPr>
      </w:pPr>
      <m:oMathPara>
        <m:oMath>
          <m:r>
            <w:rPr>
              <w:rFonts w:ascii="Cambria Math" w:hAnsi="Cambria Math" w:cstheme="minorHAnsi"/>
            </w:rPr>
            <m:t>p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</w:rPr>
                <m:t>γ</m:t>
              </m:r>
            </m:sup>
          </m:sSup>
          <m:r>
            <w:rPr>
              <w:rFonts w:ascii="Cambria Math" w:hAnsi="Cambria Math" w:cstheme="minorHAnsi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</w:rPr>
            <m:t>konstant</m:t>
          </m:r>
        </m:oMath>
      </m:oMathPara>
    </w:p>
    <w:p w14:paraId="0615EDDA" w14:textId="5B1B1EEB" w:rsidR="006831D9" w:rsidRPr="000E0BF4" w:rsidRDefault="00D8793B" w:rsidP="00CA3CC8">
      <w:pPr>
        <w:jc w:val="both"/>
        <w:rPr>
          <w:rFonts w:eastAsiaTheme="minorEastAsia"/>
          <w:lang w:val="de-DE"/>
        </w:rPr>
      </w:pPr>
      <w:r>
        <w:rPr>
          <w:lang w:val="de"/>
        </w:rPr>
        <w:t>gilt und w</w:t>
      </w:r>
      <w:r w:rsidR="006202AD" w:rsidRPr="472ED884">
        <w:rPr>
          <w:lang w:val="de"/>
        </w:rPr>
        <w:t>ir können schreiben</w:t>
      </w:r>
      <w:r>
        <w:rPr>
          <w:lang w:val="de"/>
        </w:rPr>
        <w:t>:</w:t>
      </w:r>
    </w:p>
    <w:p w14:paraId="3F584373" w14:textId="40CBA765" w:rsidR="00CB6AB3" w:rsidRPr="000E0BF4" w:rsidRDefault="00000000" w:rsidP="00CA3CC8">
      <w:pPr>
        <w:jc w:val="both"/>
        <w:rPr>
          <w:rFonts w:eastAsiaTheme="minorEastAsia" w:cstheme="minorHAnsi"/>
          <w:lang w:val="de-DE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pV</m:t>
            </m:r>
          </m:e>
          <m:sup>
            <m:r>
              <w:rPr>
                <w:rFonts w:ascii="Cambria Math" w:eastAsiaTheme="minorEastAsia" w:hAnsi="Cambria Math" w:cstheme="minorHAnsi"/>
              </w:rPr>
              <m:t>γ</m:t>
            </m:r>
          </m:sup>
        </m:sSup>
        <m:r>
          <w:rPr>
            <w:rFonts w:ascii="Cambria Math" w:eastAsiaTheme="minorEastAsia" w:hAnsi="Cambria Math" w:cstheme="minorHAnsi"/>
            <w:lang w:val="de-DE"/>
          </w:rPr>
          <m:t>=</m:t>
        </m:r>
        <m:r>
          <m:rPr>
            <m:sty m:val="p"/>
          </m:rPr>
          <w:rPr>
            <w:rFonts w:ascii="Cambria Math" w:eastAsiaTheme="minorEastAsia" w:hAnsi="Cambria Math" w:cstheme="minorHAnsi"/>
            <w:lang w:val="de-DE"/>
          </w:rPr>
          <m:t>(</m:t>
        </m:r>
        <m:r>
          <w:rPr>
            <w:rFonts w:ascii="Cambria Math" w:eastAsiaTheme="minorEastAsia" w:hAnsi="Cambria Math" w:cstheme="minorHAnsi"/>
          </w:rPr>
          <m:t>p</m:t>
        </m:r>
        <m:r>
          <w:rPr>
            <w:rFonts w:ascii="Cambria Math" w:eastAsiaTheme="minorEastAsia" w:hAnsi="Cambria Math" w:cstheme="minorHAnsi"/>
            <w:lang w:val="de-DE"/>
          </w:rPr>
          <m:t>+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δ</m:t>
        </m:r>
        <m:r>
          <w:rPr>
            <w:rFonts w:ascii="Cambria Math" w:eastAsiaTheme="minorEastAsia" w:hAnsi="Cambria Math" w:cstheme="minorHAnsi"/>
          </w:rPr>
          <m:t>p</m:t>
        </m:r>
        <m:r>
          <w:rPr>
            <w:rFonts w:ascii="Cambria Math" w:eastAsiaTheme="minorEastAsia" w:hAnsi="Cambria Math" w:cstheme="minorHAnsi"/>
            <w:lang w:val="de-DE"/>
          </w:rPr>
          <m:t>)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de-DE"/>
              </w:rPr>
              <m:t>(</m:t>
            </m:r>
            <m:r>
              <w:rPr>
                <w:rFonts w:ascii="Cambria Math" w:eastAsiaTheme="minorEastAsia" w:hAnsi="Cambria Math" w:cstheme="minorHAnsi"/>
              </w:rPr>
              <m:t>V</m:t>
            </m:r>
            <m:r>
              <w:rPr>
                <w:rFonts w:ascii="Cambria Math" w:eastAsiaTheme="minorEastAsia" w:hAnsi="Cambria Math" w:cstheme="minorHAnsi"/>
                <w:lang w:val="de-DE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δ</m:t>
            </m:r>
            <m:r>
              <w:rPr>
                <w:rFonts w:ascii="Cambria Math" w:eastAsiaTheme="minorEastAsia" w:hAnsi="Cambria Math" w:cstheme="minorHAnsi"/>
              </w:rPr>
              <m:t>V</m:t>
            </m:r>
            <m:r>
              <w:rPr>
                <w:rFonts w:ascii="Cambria Math" w:eastAsiaTheme="minorEastAsia" w:hAnsi="Cambria Math" w:cstheme="minorHAnsi"/>
                <w:lang w:val="de-DE"/>
              </w:rPr>
              <m:t>)</m:t>
            </m:r>
          </m:e>
          <m:sup>
            <m:r>
              <w:rPr>
                <w:rFonts w:ascii="Cambria Math" w:eastAsiaTheme="minorEastAsia" w:hAnsi="Cambria Math" w:cstheme="minorHAnsi"/>
              </w:rPr>
              <m:t>γ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lang w:val="de-DE"/>
          </w:rPr>
          <m:t>≈</m:t>
        </m:r>
        <m:r>
          <w:rPr>
            <w:rFonts w:ascii="Cambria Math" w:eastAsiaTheme="minorEastAsia" w:hAnsi="Cambria Math" w:cstheme="minorHAnsi"/>
            <w:lang w:val="de-DE"/>
          </w:rPr>
          <m:t>(</m:t>
        </m:r>
        <m:r>
          <w:rPr>
            <w:rFonts w:ascii="Cambria Math" w:eastAsiaTheme="minorEastAsia" w:hAnsi="Cambria Math" w:cstheme="minorHAnsi"/>
          </w:rPr>
          <m:t>p</m:t>
        </m:r>
        <m:r>
          <w:rPr>
            <w:rFonts w:ascii="Cambria Math" w:eastAsiaTheme="minorEastAsia" w:hAnsi="Cambria Math" w:cstheme="minorHAnsi"/>
            <w:lang w:val="de-DE"/>
          </w:rPr>
          <m:t xml:space="preserve"> +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δ</m:t>
        </m:r>
        <m:r>
          <w:rPr>
            <w:rFonts w:ascii="Cambria Math" w:eastAsiaTheme="minorEastAsia" w:hAnsi="Cambria Math" w:cstheme="minorHAnsi"/>
          </w:rPr>
          <m:t>p</m:t>
        </m:r>
        <m:r>
          <w:rPr>
            <w:rFonts w:ascii="Cambria Math" w:eastAsiaTheme="minorEastAsia" w:hAnsi="Cambria Math" w:cstheme="minorHAnsi"/>
            <w:lang w:val="de-DE"/>
          </w:rPr>
          <m:t>) (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p>
            <m:r>
              <w:rPr>
                <w:rFonts w:ascii="Cambria Math" w:eastAsiaTheme="minorEastAsia" w:hAnsi="Cambria Math" w:cstheme="minorHAnsi"/>
              </w:rPr>
              <m:t>γ</m:t>
            </m:r>
          </m:sup>
        </m:sSup>
        <m:r>
          <w:rPr>
            <w:rFonts w:ascii="Cambria Math" w:eastAsiaTheme="minorEastAsia" w:hAnsi="Cambria Math" w:cstheme="minorHAnsi"/>
            <w:lang w:val="de-DE"/>
          </w:rPr>
          <m:t xml:space="preserve">+ </m:t>
        </m:r>
        <m:r>
          <w:rPr>
            <w:rFonts w:ascii="Cambria Math" w:eastAsiaTheme="minorEastAsia" w:hAnsi="Cambria Math" w:cstheme="minorHAnsi"/>
          </w:rPr>
          <m:t>γ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p>
            <m:r>
              <w:rPr>
                <w:rFonts w:ascii="Cambria Math" w:eastAsiaTheme="minorEastAsia" w:hAnsi="Cambria Math" w:cstheme="minorHAnsi"/>
              </w:rPr>
              <m:t>γ</m:t>
            </m:r>
            <m:r>
              <w:rPr>
                <w:rFonts w:ascii="Cambria Math" w:eastAsiaTheme="minorEastAsia" w:hAnsi="Cambria Math" w:cstheme="minorHAnsi"/>
                <w:lang w:val="de-DE"/>
              </w:rPr>
              <m:t>-1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</w:rPr>
          <m:t>δ</m:t>
        </m:r>
        <m:r>
          <w:rPr>
            <w:rFonts w:ascii="Cambria Math" w:eastAsiaTheme="minorEastAsia" w:hAnsi="Cambria Math" w:cstheme="minorHAnsi"/>
          </w:rPr>
          <m:t>V</m:t>
        </m:r>
      </m:oMath>
      <w:r w:rsidR="00EB15E8">
        <w:rPr>
          <w:lang w:val="de"/>
        </w:rPr>
        <w:t>)</w:t>
      </w:r>
      <w:r w:rsidR="00F63170">
        <w:rPr>
          <w:lang w:val="de"/>
        </w:rPr>
        <w:t xml:space="preserve"> ,</w:t>
      </w:r>
    </w:p>
    <w:p w14:paraId="656F65B3" w14:textId="3465DDCA" w:rsidR="00F63170" w:rsidRPr="000E0BF4" w:rsidRDefault="00000000" w:rsidP="00CA3CC8">
      <w:pPr>
        <w:jc w:val="both"/>
        <w:rPr>
          <w:rFonts w:eastAsiaTheme="minorEastAsia" w:cstheme="minorHAnsi"/>
          <w:lang w:val="de-DE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pV</m:t>
            </m:r>
          </m:e>
          <m:sup>
            <m:r>
              <w:rPr>
                <w:rFonts w:ascii="Cambria Math" w:eastAsiaTheme="minorEastAsia" w:hAnsi="Cambria Math" w:cstheme="minorHAnsi"/>
              </w:rPr>
              <m:t>γ</m:t>
            </m:r>
          </m:sup>
        </m:sSup>
        <m:r>
          <w:rPr>
            <w:rFonts w:ascii="Cambria Math" w:eastAsiaTheme="minorEastAsia" w:hAnsi="Cambria Math" w:cstheme="minorHAnsi"/>
            <w:lang w:val="de-DE"/>
          </w:rPr>
          <m:t>=</m:t>
        </m:r>
        <m:r>
          <w:rPr>
            <w:rFonts w:ascii="Cambria Math" w:eastAsiaTheme="minorEastAsia" w:hAnsi="Cambria Math" w:cstheme="minorHAnsi"/>
          </w:rPr>
          <m:t>p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p>
            <m:r>
              <w:rPr>
                <w:rFonts w:ascii="Cambria Math" w:eastAsiaTheme="minorEastAsia" w:hAnsi="Cambria Math" w:cstheme="minorHAnsi"/>
              </w:rPr>
              <m:t>γ</m:t>
            </m:r>
          </m:sup>
        </m:sSup>
        <m:r>
          <w:rPr>
            <w:rFonts w:ascii="Cambria Math" w:eastAsiaTheme="minorEastAsia" w:hAnsi="Cambria Math" w:cstheme="minorHAnsi"/>
            <w:lang w:val="de-DE"/>
          </w:rPr>
          <m:t>+</m:t>
        </m:r>
        <m:r>
          <w:rPr>
            <w:rFonts w:ascii="Cambria Math" w:eastAsiaTheme="minorEastAsia" w:hAnsi="Cambria Math" w:cstheme="minorHAnsi"/>
          </w:rPr>
          <m:t>p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γ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p>
            <m:r>
              <w:rPr>
                <w:rFonts w:ascii="Cambria Math" w:eastAsiaTheme="minorEastAsia" w:hAnsi="Cambria Math" w:cstheme="minorHAnsi"/>
              </w:rPr>
              <m:t>γ</m:t>
            </m:r>
            <m:r>
              <w:rPr>
                <w:rFonts w:ascii="Cambria Math" w:eastAsiaTheme="minorEastAsia" w:hAnsi="Cambria Math" w:cstheme="minorHAnsi"/>
                <w:lang w:val="de-DE"/>
              </w:rPr>
              <m:t>-1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</w:rPr>
          <m:t>δ</m:t>
        </m:r>
        <m:r>
          <w:rPr>
            <w:rFonts w:ascii="Cambria Math" w:eastAsiaTheme="minorEastAsia" w:hAnsi="Cambria Math" w:cstheme="minorHAnsi"/>
          </w:rPr>
          <m:t>V</m:t>
        </m:r>
        <m:r>
          <w:rPr>
            <w:rFonts w:ascii="Cambria Math" w:eastAsiaTheme="minorEastAsia" w:hAnsi="Cambria Math" w:cstheme="minorHAnsi"/>
            <w:lang w:val="de-DE"/>
          </w:rPr>
          <m:t xml:space="preserve"> +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p>
            <m:r>
              <w:rPr>
                <w:rFonts w:ascii="Cambria Math" w:eastAsiaTheme="minorEastAsia" w:hAnsi="Cambria Math" w:cstheme="minorHAnsi"/>
              </w:rPr>
              <m:t>γ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</w:rPr>
          <m:t>δ</m:t>
        </m:r>
        <m:r>
          <w:rPr>
            <w:rFonts w:ascii="Cambria Math" w:eastAsiaTheme="minorEastAsia" w:hAnsi="Cambria Math" w:cstheme="minorHAnsi"/>
          </w:rPr>
          <m:t>p</m:t>
        </m:r>
        <m:r>
          <w:rPr>
            <w:rFonts w:ascii="Cambria Math" w:eastAsiaTheme="minorEastAsia" w:hAnsi="Cambria Math" w:cstheme="minorHAnsi"/>
            <w:lang w:val="de-DE"/>
          </w:rPr>
          <m:t xml:space="preserve">+ </m:t>
        </m:r>
        <m:r>
          <w:rPr>
            <w:rFonts w:ascii="Cambria Math" w:eastAsiaTheme="minorEastAsia" w:hAnsi="Cambria Math" w:cstheme="minorHAnsi"/>
          </w:rPr>
          <m:t>γ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p>
            <m:r>
              <w:rPr>
                <w:rFonts w:ascii="Cambria Math" w:eastAsiaTheme="minorEastAsia" w:hAnsi="Cambria Math" w:cstheme="minorHAnsi"/>
              </w:rPr>
              <m:t>γ</m:t>
            </m:r>
            <m:r>
              <w:rPr>
                <w:rFonts w:ascii="Cambria Math" w:eastAsiaTheme="minorEastAsia" w:hAnsi="Cambria Math" w:cstheme="minorHAnsi"/>
                <w:lang w:val="de-DE"/>
              </w:rPr>
              <m:t>-1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</w:rPr>
          <m:t>δ</m:t>
        </m:r>
        <m:r>
          <w:rPr>
            <w:rFonts w:ascii="Cambria Math" w:eastAsiaTheme="minorEastAsia" w:hAnsi="Cambria Math" w:cstheme="minorHAnsi"/>
          </w:rPr>
          <m:t>V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δ</m:t>
        </m:r>
        <m:r>
          <w:rPr>
            <w:rFonts w:ascii="Cambria Math" w:eastAsiaTheme="minorEastAsia" w:hAnsi="Cambria Math" w:cstheme="minorHAnsi"/>
          </w:rPr>
          <m:t>p</m:t>
        </m:r>
        <m:r>
          <m:rPr>
            <m:sty m:val="p"/>
          </m:rPr>
          <w:rPr>
            <w:rFonts w:ascii="Cambria Math" w:eastAsiaTheme="minorEastAsia" w:hAnsi="Cambria Math" w:cstheme="minorHAnsi"/>
            <w:lang w:val="de-DE"/>
          </w:rPr>
          <m:t xml:space="preserve"> </m:t>
        </m:r>
      </m:oMath>
      <w:r w:rsidR="00F63170">
        <w:rPr>
          <w:lang w:val="de"/>
        </w:rPr>
        <w:t>,</w:t>
      </w:r>
    </w:p>
    <w:p w14:paraId="250340A4" w14:textId="27E4E178" w:rsidR="005540CA" w:rsidRPr="000E0BF4" w:rsidRDefault="005540CA" w:rsidP="00CA3CC8">
      <w:pPr>
        <w:jc w:val="both"/>
        <w:rPr>
          <w:rFonts w:eastAsiaTheme="minorEastAsia" w:cstheme="minorHAnsi"/>
          <w:lang w:val="de-DE"/>
        </w:rPr>
      </w:pPr>
      <w:r>
        <w:rPr>
          <w:lang w:val="de"/>
        </w:rPr>
        <w:t xml:space="preserve">wobei </w:t>
      </w:r>
      <m:oMath>
        <m:sSup>
          <m:sSupPr>
            <m:ctrlPr>
              <w:rPr>
                <w:rFonts w:ascii="Cambria Math" w:eastAsiaTheme="minorEastAsia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de-DE"/>
              </w:rPr>
              <m:t>pV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γ</m:t>
            </m:r>
          </m:sup>
        </m:sSup>
      </m:oMath>
      <w:r>
        <w:rPr>
          <w:lang w:val="de"/>
        </w:rPr>
        <w:t xml:space="preserve"> auf beiden Seiten </w:t>
      </w:r>
      <w:r w:rsidR="00F77ED8">
        <w:rPr>
          <w:lang w:val="de"/>
        </w:rPr>
        <w:t>gekürzt wird</w:t>
      </w:r>
      <w:r>
        <w:rPr>
          <w:lang w:val="de"/>
        </w:rPr>
        <w:t xml:space="preserve"> und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γ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p>
            <m:r>
              <w:rPr>
                <w:rFonts w:ascii="Cambria Math" w:eastAsiaTheme="minorEastAsia" w:hAnsi="Cambria Math" w:cstheme="minorHAnsi"/>
              </w:rPr>
              <m:t>γ</m:t>
            </m:r>
            <m:r>
              <w:rPr>
                <w:rFonts w:ascii="Cambria Math" w:eastAsiaTheme="minorEastAsia" w:hAnsi="Cambria Math" w:cstheme="minorHAnsi"/>
                <w:lang w:val="de-DE"/>
              </w:rPr>
              <m:t>-1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</w:rPr>
          <m:t>δ</m:t>
        </m:r>
        <m:r>
          <w:rPr>
            <w:rFonts w:ascii="Cambria Math" w:eastAsiaTheme="minorEastAsia" w:hAnsi="Cambria Math" w:cstheme="minorHAnsi"/>
          </w:rPr>
          <m:t>V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δ</m:t>
        </m:r>
        <m:r>
          <w:rPr>
            <w:rFonts w:ascii="Cambria Math" w:eastAsiaTheme="minorEastAsia" w:hAnsi="Cambria Math" w:cstheme="minorHAnsi"/>
          </w:rPr>
          <m:t>p</m:t>
        </m:r>
      </m:oMath>
      <w:r w:rsidR="00F77ED8" w:rsidRPr="000E0BF4">
        <w:rPr>
          <w:rFonts w:eastAsiaTheme="minorEastAsia"/>
          <w:lang w:val="de-DE"/>
        </w:rPr>
        <w:t xml:space="preserve"> </w:t>
      </w:r>
      <w:r w:rsidR="008175DE">
        <w:rPr>
          <w:lang w:val="de"/>
        </w:rPr>
        <w:t xml:space="preserve">vernachlässigbar </w:t>
      </w:r>
      <w:r w:rsidR="00F77ED8">
        <w:rPr>
          <w:lang w:val="de"/>
        </w:rPr>
        <w:t>klein ist</w:t>
      </w:r>
      <w:r>
        <w:rPr>
          <w:lang w:val="de"/>
        </w:rPr>
        <w:t xml:space="preserve">. </w:t>
      </w:r>
      <w:r w:rsidR="00F77ED8">
        <w:rPr>
          <w:lang w:val="de"/>
        </w:rPr>
        <w:t>Man erhält</w:t>
      </w:r>
    </w:p>
    <w:p w14:paraId="567C6332" w14:textId="0768E7BF" w:rsidR="00C956E4" w:rsidRPr="000E0BF4" w:rsidRDefault="00000000" w:rsidP="00CA3CC8">
      <w:pPr>
        <w:jc w:val="both"/>
        <w:rPr>
          <w:rFonts w:eastAsiaTheme="minorEastAsia" w:cstheme="minorHAnsi"/>
          <w:lang w:val="de-DE"/>
        </w:rPr>
      </w:pP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δ</m:t>
            </m:r>
            <m:r>
              <w:rPr>
                <w:rFonts w:ascii="Cambria Math" w:eastAsiaTheme="minorEastAsia" w:hAnsi="Cambria Math" w:cstheme="minorHAnsi"/>
              </w:rPr>
              <m:t>p</m:t>
            </m:r>
            <m:ctrlPr>
              <w:rPr>
                <w:rFonts w:ascii="Cambria Math" w:eastAsiaTheme="minorEastAsia" w:hAnsi="Cambria Math" w:cstheme="minorHAnsi"/>
                <w:i/>
              </w:rPr>
            </m:ctrlPr>
          </m:num>
          <m:den>
            <m:r>
              <w:rPr>
                <w:rFonts w:ascii="Cambria Math" w:eastAsiaTheme="minorEastAsia" w:hAnsi="Cambria Math" w:cstheme="minorHAnsi"/>
              </w:rPr>
              <m:t>p</m:t>
            </m:r>
            <m:ctrlPr>
              <w:rPr>
                <w:rFonts w:ascii="Cambria Math" w:eastAsiaTheme="minorEastAsia" w:hAnsi="Cambria Math" w:cstheme="minorHAnsi"/>
                <w:i/>
              </w:rPr>
            </m:ctrlPr>
          </m:den>
        </m:f>
        <m:r>
          <w:rPr>
            <w:rFonts w:ascii="Cambria Math" w:eastAsiaTheme="minorEastAsia" w:hAnsi="Cambria Math" w:cstheme="minorHAnsi"/>
            <w:lang w:val="de-DE"/>
          </w:rPr>
          <m:t> = -</m:t>
        </m:r>
        <m:r>
          <w:rPr>
            <w:rFonts w:ascii="Cambria Math" w:eastAsiaTheme="minorEastAsia" w:hAnsi="Cambria Math" w:cstheme="minorHAnsi"/>
          </w:rPr>
          <m:t>γ</m:t>
        </m:r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δ</m:t>
            </m:r>
            <m:r>
              <w:rPr>
                <w:rFonts w:ascii="Cambria Math" w:eastAsiaTheme="minorEastAsia" w:hAnsi="Cambria Math" w:cstheme="minorHAnsi"/>
              </w:rPr>
              <m:t>V</m:t>
            </m:r>
            <m:ctrlPr>
              <w:rPr>
                <w:rFonts w:ascii="Cambria Math" w:eastAsiaTheme="minorEastAsia" w:hAnsi="Cambria Math" w:cstheme="minorHAnsi"/>
                <w:i/>
              </w:rPr>
            </m:ctrlPr>
          </m:num>
          <m:den>
            <m:r>
              <w:rPr>
                <w:rFonts w:ascii="Cambria Math" w:eastAsiaTheme="minorEastAsia" w:hAnsi="Cambria Math" w:cstheme="minorHAnsi"/>
              </w:rPr>
              <m:t>V</m:t>
            </m:r>
            <m:ctrlPr>
              <w:rPr>
                <w:rFonts w:ascii="Cambria Math" w:eastAsiaTheme="minorEastAsia" w:hAnsi="Cambria Math" w:cstheme="minorHAnsi"/>
                <w:i/>
              </w:rPr>
            </m:ctrlPr>
          </m:den>
        </m:f>
      </m:oMath>
      <w:r w:rsidR="003D7198">
        <w:rPr>
          <w:lang w:val="de"/>
        </w:rPr>
        <w:t>.</w:t>
      </w:r>
    </w:p>
    <w:p w14:paraId="43B1DD23" w14:textId="2AD40000" w:rsidR="00404617" w:rsidRPr="00F77ED8" w:rsidRDefault="00047FA6" w:rsidP="00CA3CC8">
      <w:pPr>
        <w:jc w:val="both"/>
        <w:rPr>
          <w:rFonts w:eastAsiaTheme="minorEastAsia" w:cstheme="minorHAnsi"/>
          <w:lang w:val="de-DE"/>
        </w:rPr>
      </w:pPr>
      <w:r w:rsidRPr="00F77ED8">
        <w:rPr>
          <w:lang w:val="de-DE"/>
        </w:rPr>
        <w:t xml:space="preserve">Als nächstes schreiben wir die Bewegungsgleichung für die Masse </w:t>
      </w:r>
      <w:r w:rsidRPr="00F77ED8">
        <w:rPr>
          <w:i/>
          <w:iCs/>
          <w:lang w:val="de-DE"/>
        </w:rPr>
        <w:t>m</w:t>
      </w:r>
      <w:r w:rsidRPr="00F77ED8">
        <w:rPr>
          <w:lang w:val="de-DE"/>
        </w:rPr>
        <w:t xml:space="preserve"> der Luft im </w:t>
      </w:r>
      <w:r w:rsidR="00EE25E2" w:rsidRPr="00F77ED8">
        <w:rPr>
          <w:lang w:val="de-DE"/>
        </w:rPr>
        <w:t xml:space="preserve">Resonatorhals auf. Die </w:t>
      </w:r>
      <w:r w:rsidR="00F77ED8" w:rsidRPr="00F77ED8">
        <w:rPr>
          <w:lang w:val="de-DE"/>
        </w:rPr>
        <w:t>Nettokraft, die</w:t>
      </w:r>
      <w:r w:rsidRPr="00F77ED8">
        <w:rPr>
          <w:lang w:val="de-DE"/>
        </w:rPr>
        <w:t xml:space="preserve"> auf die Luft </w:t>
      </w:r>
      <w:r w:rsidR="0093159E" w:rsidRPr="00F77ED8">
        <w:rPr>
          <w:lang w:val="de-DE"/>
        </w:rPr>
        <w:t>wirkt</w:t>
      </w:r>
      <w:r w:rsidR="00830A72" w:rsidRPr="00F77ED8">
        <w:rPr>
          <w:lang w:val="de-DE"/>
        </w:rPr>
        <w:t xml:space="preserve">, ist auf die Druckdifferenz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de-DE"/>
          </w:rPr>
          <m:t>δp</m:t>
        </m:r>
      </m:oMath>
      <w:r w:rsidR="00F77ED8" w:rsidRPr="00F77ED8">
        <w:rPr>
          <w:rFonts w:eastAsiaTheme="minorEastAsia"/>
          <w:lang w:val="de-DE"/>
        </w:rPr>
        <w:t xml:space="preserve"> zurückzuführen</w:t>
      </w:r>
      <w:r w:rsidR="00830A72" w:rsidRPr="00F77ED8">
        <w:rPr>
          <w:lang w:val="de-DE"/>
        </w:rPr>
        <w:t>.</w:t>
      </w:r>
      <w:r w:rsidR="00F77ED8" w:rsidRPr="00F77ED8">
        <w:rPr>
          <w:lang w:val="de-DE"/>
        </w:rPr>
        <w:t xml:space="preserve"> </w:t>
      </w:r>
      <w:r w:rsidR="00404617" w:rsidRPr="00F77ED8">
        <w:rPr>
          <w:lang w:val="de-DE"/>
        </w:rPr>
        <w:t xml:space="preserve">Wir </w:t>
      </w:r>
      <w:r w:rsidR="00D8793B">
        <w:rPr>
          <w:lang w:val="de-DE"/>
        </w:rPr>
        <w:t>erhalten</w:t>
      </w:r>
      <w:r w:rsidR="00404617" w:rsidRPr="00F77ED8">
        <w:rPr>
          <w:lang w:val="de-DE"/>
        </w:rPr>
        <w:t xml:space="preserve"> daher</w:t>
      </w:r>
    </w:p>
    <w:p w14:paraId="513B40D1" w14:textId="53D7204F" w:rsidR="00CB6AB3" w:rsidRPr="001F2BDF" w:rsidRDefault="00000000" w:rsidP="00CA3CC8">
      <w:pPr>
        <w:jc w:val="both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F</m:t>
            </m:r>
          </m:e>
          <m:sub>
            <m:r>
              <m:rPr>
                <m:nor/>
              </m:rPr>
              <w:rPr>
                <w:rFonts w:ascii="Cambria Math" w:eastAsiaTheme="minorEastAsia" w:hAnsi="Cambria Math" w:cstheme="minorHAnsi"/>
              </w:rPr>
              <m:t>net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</w:rPr>
          <m:t>=</m:t>
        </m:r>
        <m:r>
          <w:rPr>
            <w:rFonts w:ascii="Cambria Math" w:eastAsiaTheme="minorEastAsia" w:hAnsi="Cambria Math" w:cstheme="minorHAnsi"/>
          </w:rPr>
          <m:t>m</m:t>
        </m:r>
        <m:acc>
          <m:accPr>
            <m:chr m:val="̈"/>
            <m:ctrlPr>
              <w:rPr>
                <w:rFonts w:ascii="Cambria Math" w:eastAsiaTheme="minorEastAsia" w:hAnsi="Cambria Math" w:cstheme="minorHAnsi"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y</m:t>
            </m:r>
          </m:e>
        </m:acc>
      </m:oMath>
      <w:r w:rsidR="001F2BDF">
        <w:rPr>
          <w:lang w:val="de"/>
        </w:rPr>
        <w:t xml:space="preserve"> ,</w:t>
      </w:r>
    </w:p>
    <w:p w14:paraId="53029B39" w14:textId="53D952C2" w:rsidR="001F2BDF" w:rsidRDefault="00EA162A" w:rsidP="00CA3CC8">
      <w:pPr>
        <w:jc w:val="both"/>
        <w:rPr>
          <w:rFonts w:eastAsiaTheme="minorEastAsia" w:cstheme="minorHAnsi"/>
        </w:rPr>
      </w:pPr>
      <m:oMathPara>
        <m:oMath>
          <m:r>
            <w:rPr>
              <w:rFonts w:ascii="Cambria Math" w:eastAsiaTheme="minorEastAsia" w:hAnsi="Cambria Math" w:cstheme="minorHAnsi"/>
            </w:rPr>
            <m:t>A</m:t>
          </m:r>
          <m:r>
            <m:rPr>
              <m:sty m:val="p"/>
            </m:rPr>
            <w:rPr>
              <w:rFonts w:ascii="Cambria Math" w:eastAsiaTheme="minorEastAsia" w:hAnsi="Cambria Math" w:cstheme="minorHAnsi"/>
            </w:rPr>
            <m:t>δp</m:t>
          </m:r>
          <m:r>
            <w:rPr>
              <w:rFonts w:ascii="Cambria Math" w:eastAsiaTheme="minorEastAsia" w:hAnsi="Cambria Math" w:cstheme="minorHAnsi"/>
            </w:rPr>
            <m:t>=m</m:t>
          </m:r>
          <m:acc>
            <m:accPr>
              <m:chr m:val="̈"/>
              <m:ctrlPr>
                <w:rPr>
                  <w:rFonts w:ascii="Cambria Math" w:eastAsiaTheme="minorEastAsia" w:hAnsi="Cambria Math" w:cstheme="minorHAnsi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 w:cstheme="minorHAnsi"/>
                </w:rPr>
                <m:t>y</m:t>
              </m:r>
            </m:e>
          </m:acc>
          <m:r>
            <w:rPr>
              <w:rFonts w:ascii="Cambria Math" w:eastAsiaTheme="minorEastAsia" w:hAnsi="Cambria Math" w:cstheme="minorHAnsi"/>
            </w:rPr>
            <m:t xml:space="preserve"> ,</m:t>
          </m:r>
        </m:oMath>
      </m:oMathPara>
    </w:p>
    <w:p w14:paraId="090BEC4D" w14:textId="49E19725" w:rsidR="00660DD3" w:rsidRPr="001F2BDF" w:rsidRDefault="001A4E82" w:rsidP="00CA3CC8">
      <w:pPr>
        <w:jc w:val="both"/>
        <w:rPr>
          <w:rFonts w:eastAsiaTheme="minorEastAsia" w:cstheme="minorHAnsi"/>
        </w:rPr>
      </w:pPr>
      <m:oMathPara>
        <m:oMath>
          <m:r>
            <w:rPr>
              <w:rFonts w:ascii="Cambria Math" w:eastAsiaTheme="minorEastAsia" w:hAnsi="Cambria Math" w:cstheme="minorHAnsi"/>
            </w:rPr>
            <m:t>-γpA</m:t>
          </m:r>
          <m:f>
            <m:fPr>
              <m:ctrlPr>
                <w:rPr>
                  <w:rFonts w:ascii="Cambria Math" w:eastAsiaTheme="minorEastAsia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δ</m:t>
              </m:r>
              <m:r>
                <w:rPr>
                  <w:rFonts w:ascii="Cambria Math" w:eastAsiaTheme="minorEastAsia" w:hAnsi="Cambria Math" w:cstheme="minorHAnsi"/>
                </w:rPr>
                <m:t>V</m:t>
              </m:r>
              <m:ctrlPr>
                <w:rPr>
                  <w:rFonts w:ascii="Cambria Math" w:eastAsiaTheme="minorEastAsia" w:hAnsi="Cambria Math" w:cstheme="minorHAnsi"/>
                  <w:i/>
                </w:rPr>
              </m:ctrlPr>
            </m:num>
            <m:den>
              <m:r>
                <w:rPr>
                  <w:rFonts w:ascii="Cambria Math" w:eastAsiaTheme="minorEastAsia" w:hAnsi="Cambria Math" w:cstheme="minorHAnsi"/>
                </w:rPr>
                <m:t>V</m:t>
              </m:r>
              <m:ctrlPr>
                <w:rPr>
                  <w:rFonts w:ascii="Cambria Math" w:eastAsiaTheme="minorEastAsia" w:hAnsi="Cambria Math" w:cstheme="minorHAnsi"/>
                  <w:i/>
                </w:rPr>
              </m:ctrlPr>
            </m:den>
          </m:f>
          <m:r>
            <w:rPr>
              <w:rFonts w:ascii="Cambria Math" w:eastAsiaTheme="minorEastAsia" w:hAnsi="Cambria Math" w:cstheme="minorHAnsi"/>
            </w:rPr>
            <m:t>=m</m:t>
          </m:r>
          <m:acc>
            <m:accPr>
              <m:chr m:val="̈"/>
              <m:ctrlPr>
                <w:rPr>
                  <w:rFonts w:ascii="Cambria Math" w:eastAsiaTheme="minorEastAsia" w:hAnsi="Cambria Math" w:cstheme="minorHAnsi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 w:cstheme="minorHAnsi"/>
                </w:rPr>
                <m:t>y</m:t>
              </m:r>
            </m:e>
          </m:acc>
          <m:r>
            <w:rPr>
              <w:rFonts w:ascii="Cambria Math" w:eastAsiaTheme="minorEastAsia" w:hAnsi="Cambria Math" w:cstheme="minorHAnsi"/>
            </w:rPr>
            <m:t> ,</m:t>
          </m:r>
        </m:oMath>
      </m:oMathPara>
    </w:p>
    <w:p w14:paraId="2C4EC8C3" w14:textId="79040059" w:rsidR="005E072C" w:rsidRPr="0012382D" w:rsidRDefault="00000000" w:rsidP="00CA3CC8">
      <w:pPr>
        <w:jc w:val="both"/>
      </w:pPr>
      <m:oMathPara>
        <m:oMath>
          <m:acc>
            <m:accPr>
              <m:chr m:val="̈"/>
              <m:ctrlPr>
                <w:rPr>
                  <w:rFonts w:ascii="Cambria Math" w:eastAsiaTheme="minorEastAsia" w:hAnsi="Cambria Math" w:cstheme="minorHAnsi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 w:cstheme="minorHAnsi"/>
                </w:rPr>
                <m:t>y</m:t>
              </m:r>
            </m:e>
          </m:acc>
          <m:r>
            <w:rPr>
              <w:rFonts w:ascii="Cambria Math" w:eastAsiaTheme="minorEastAsia" w:hAnsi="Cambria Math" w:cstheme="minorHAnsi"/>
              <w:lang w:val="fi-FI"/>
            </w:rPr>
            <m:t> = -</m:t>
          </m:r>
          <m:f>
            <m:fPr>
              <m:ctrlPr>
                <w:rPr>
                  <w:rFonts w:ascii="Cambria Math" w:eastAsiaTheme="minorEastAsia" w:hAnsi="Cambria Math" w:cstheme="minorHAnsi"/>
                  <w:lang w:val="fi-F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fi-FI"/>
                </w:rPr>
                <m:t>γ</m:t>
              </m:r>
              <m:r>
                <w:rPr>
                  <w:rFonts w:ascii="Cambria Math" w:eastAsiaTheme="minorEastAsia" w:hAnsi="Cambria Math" w:cstheme="minorHAnsi"/>
                  <w:lang w:val="fi-FI"/>
                </w:rPr>
                <m:t>pA</m:t>
              </m:r>
            </m:num>
            <m:den>
              <m:r>
                <w:rPr>
                  <w:rFonts w:ascii="Cambria Math" w:eastAsiaTheme="minorEastAsia" w:hAnsi="Cambria Math" w:cstheme="minorHAnsi"/>
                  <w:lang w:val="fi-FI"/>
                </w:rPr>
                <m:t>m</m:t>
              </m:r>
            </m:den>
          </m:f>
          <m:f>
            <m:fPr>
              <m:ctrlPr>
                <w:rPr>
                  <w:rFonts w:ascii="Cambria Math" w:eastAsiaTheme="minorEastAsia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δ</m:t>
              </m:r>
              <m:r>
                <w:rPr>
                  <w:rFonts w:ascii="Cambria Math" w:eastAsiaTheme="minorEastAsia" w:hAnsi="Cambria Math" w:cstheme="minorHAnsi"/>
                </w:rPr>
                <m:t>V</m:t>
              </m:r>
              <m:ctrlPr>
                <w:rPr>
                  <w:rFonts w:ascii="Cambria Math" w:eastAsiaTheme="minorEastAsia" w:hAnsi="Cambria Math" w:cstheme="minorHAnsi"/>
                  <w:i/>
                </w:rPr>
              </m:ctrlPr>
            </m:num>
            <m:den>
              <m:r>
                <w:rPr>
                  <w:rFonts w:ascii="Cambria Math" w:eastAsiaTheme="minorEastAsia" w:hAnsi="Cambria Math" w:cstheme="minorHAnsi"/>
                </w:rPr>
                <m:t>V</m:t>
              </m:r>
              <m:ctrlPr>
                <w:rPr>
                  <w:rFonts w:ascii="Cambria Math" w:eastAsiaTheme="minorEastAsia" w:hAnsi="Cambria Math" w:cstheme="minorHAnsi"/>
                  <w:i/>
                </w:rPr>
              </m:ctrlPr>
            </m:den>
          </m:f>
          <m:r>
            <w:rPr>
              <w:rFonts w:ascii="Cambria Math" w:eastAsiaTheme="minorEastAsia" w:hAnsi="Cambria Math" w:cstheme="minorHAnsi"/>
              <w:lang w:val="fi-FI"/>
            </w:rPr>
            <m:t>.</m:t>
          </m:r>
        </m:oMath>
      </m:oMathPara>
    </w:p>
    <w:p w14:paraId="14E9FCAA" w14:textId="7948B861" w:rsidR="005E072C" w:rsidRPr="000E0BF4" w:rsidRDefault="00EA162A" w:rsidP="00CA3CC8">
      <w:pPr>
        <w:jc w:val="both"/>
        <w:rPr>
          <w:rFonts w:eastAsiaTheme="minorEastAsia"/>
          <w:lang w:val="de-DE"/>
        </w:rPr>
      </w:pPr>
      <w:r w:rsidRPr="571DE5E0">
        <w:rPr>
          <w:lang w:val="de"/>
        </w:rPr>
        <w:t xml:space="preserve">Jetzt können wir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δ</m:t>
        </m:r>
        <m:r>
          <w:rPr>
            <w:rFonts w:ascii="Cambria Math" w:eastAsiaTheme="minorEastAsia" w:hAnsi="Cambria Math" w:cstheme="minorHAnsi"/>
          </w:rPr>
          <m:t>V</m:t>
        </m:r>
        <m:r>
          <w:rPr>
            <w:rFonts w:ascii="Cambria Math" w:eastAsiaTheme="minorEastAsia" w:hAnsi="Cambria Math" w:cstheme="minorHAnsi"/>
            <w:lang w:val="de-DE"/>
          </w:rPr>
          <m:t xml:space="preserve"> = </m:t>
        </m:r>
        <m:r>
          <w:rPr>
            <w:rFonts w:ascii="Cambria Math" w:eastAsiaTheme="minorEastAsia" w:hAnsi="Cambria Math" w:cstheme="minorHAnsi"/>
          </w:rPr>
          <m:t>yA</m:t>
        </m:r>
        <m:r>
          <w:rPr>
            <w:rFonts w:ascii="Cambria Math" w:eastAsiaTheme="minorEastAsia" w:hAnsi="Cambria Math" w:cstheme="minorHAnsi"/>
            <w:lang w:val="de-DE"/>
          </w:rPr>
          <m:t xml:space="preserve">, 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  <w:lang w:val="de-DE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γ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ρ</m:t>
                </m:r>
              </m:den>
            </m:f>
          </m:e>
        </m:rad>
        <m:r>
          <m:rPr>
            <m:sty m:val="p"/>
          </m:rPr>
          <w:rPr>
            <w:rFonts w:ascii="Cambria Math" w:eastAsiaTheme="minorEastAsia" w:hAnsi="Cambria Math" w:cstheme="minorHAnsi"/>
            <w:lang w:val="de-DE"/>
          </w:rPr>
          <m:t xml:space="preserve"> und m</m:t>
        </m:r>
        <m:r>
          <w:rPr>
            <w:rFonts w:ascii="Cambria Math" w:eastAsiaTheme="minorEastAsia" w:hAnsi="Cambria Math" w:cstheme="minorHAnsi"/>
            <w:lang w:val="de-DE"/>
          </w:rPr>
          <m:t>=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ρ</m:t>
        </m:r>
        <m:sSub>
          <m:sSubPr>
            <m:ctrlPr>
              <w:rPr>
                <w:rFonts w:ascii="Cambria Math" w:eastAsiaTheme="minorEastAsia" w:hAnsi="Cambria Math" w:cstheme="minorHAnsi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de-DE"/>
              </w:rPr>
              <m:t>V</m:t>
            </m:r>
          </m:e>
          <m:sub>
            <m:r>
              <m:rPr>
                <m:nor/>
              </m:rPr>
              <w:rPr>
                <w:rFonts w:ascii="Cambria Math" w:eastAsiaTheme="minorEastAsia" w:hAnsi="Cambria Math" w:cstheme="minorHAnsi"/>
                <w:iCs/>
                <w:lang w:val="de-DE"/>
              </w:rPr>
              <m:t>Hals</m:t>
            </m:r>
          </m:sub>
        </m:sSub>
        <m:r>
          <w:rPr>
            <w:rFonts w:ascii="Cambria Math" w:eastAsiaTheme="minorEastAsia" w:hAnsi="Cambria Math" w:cstheme="minorHAnsi"/>
            <w:lang w:val="de-DE"/>
          </w:rPr>
          <m:t>=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ρ</m:t>
        </m:r>
        <m:r>
          <w:rPr>
            <w:rFonts w:ascii="Cambria Math" w:eastAsiaTheme="minorEastAsia" w:hAnsi="Cambria Math" w:cstheme="minorHAnsi"/>
          </w:rPr>
          <m:t>AL</m:t>
        </m:r>
      </m:oMath>
      <w:r w:rsidR="00F77ED8" w:rsidRPr="000E0BF4">
        <w:rPr>
          <w:rFonts w:eastAsiaTheme="minorEastAsia"/>
          <w:lang w:val="de-DE"/>
        </w:rPr>
        <w:t xml:space="preserve"> nutzen, um </w:t>
      </w:r>
    </w:p>
    <w:p w14:paraId="4689225D" w14:textId="4F2EB9BE" w:rsidR="005E072C" w:rsidRPr="0012382D" w:rsidRDefault="00000000" w:rsidP="00CA3CC8">
      <w:pPr>
        <w:jc w:val="both"/>
        <w:rPr>
          <w:rFonts w:eastAsiaTheme="minorEastAsia"/>
        </w:rPr>
      </w:pPr>
      <m:oMathPara>
        <m:oMath>
          <m:acc>
            <m:accPr>
              <m:chr m:val="̈"/>
              <m:ctrlPr>
                <w:rPr>
                  <w:rFonts w:ascii="Cambria Math" w:eastAsiaTheme="minorEastAsia" w:hAnsi="Cambria Math" w:cstheme="minorHAnsi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 w:cstheme="minorHAnsi"/>
                </w:rPr>
                <m:t>y</m:t>
              </m:r>
            </m:e>
          </m:acc>
          <m:r>
            <w:rPr>
              <w:rFonts w:ascii="Cambria Math" w:eastAsiaTheme="minorEastAsia" w:hAnsi="Cambria Math" w:cstheme="minorHAnsi"/>
              <w:lang w:val="fi-FI"/>
            </w:rPr>
            <m:t>+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fi-FI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lang w:val="fi-FI"/>
                </w:rPr>
                <m:t>c</m:t>
              </m:r>
            </m:e>
            <m:sup>
              <m:r>
                <w:rPr>
                  <w:rFonts w:ascii="Cambria Math" w:eastAsiaTheme="minorEastAsia" w:hAnsi="Cambria Math" w:cstheme="minorHAnsi"/>
                  <w:lang w:val="fi-FI"/>
                </w:rPr>
                <m:t>2</m:t>
              </m:r>
            </m:sup>
          </m:sSup>
          <m:f>
            <m:fPr>
              <m:ctrlPr>
                <w:rPr>
                  <w:rFonts w:ascii="Cambria Math" w:eastAsiaTheme="minorEastAsia" w:hAnsi="Cambria Math" w:cstheme="minorHAnsi"/>
                  <w:lang w:val="fi-FI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fi-FI"/>
                </w:rPr>
                <m:t>A</m:t>
              </m:r>
            </m:num>
            <m:den>
              <m:r>
                <w:rPr>
                  <w:rFonts w:ascii="Cambria Math" w:eastAsiaTheme="minorEastAsia" w:hAnsi="Cambria Math" w:cstheme="minorHAnsi"/>
                  <w:lang w:val="fi-FI"/>
                </w:rPr>
                <m:t>VL</m:t>
              </m:r>
            </m:den>
          </m:f>
          <m:r>
            <w:rPr>
              <w:rFonts w:ascii="Cambria Math" w:eastAsiaTheme="minorEastAsia" w:hAnsi="Cambria Math" w:cstheme="minorHAnsi"/>
            </w:rPr>
            <m:t>y</m:t>
          </m:r>
          <m:r>
            <w:rPr>
              <w:rFonts w:ascii="Cambria Math" w:eastAsiaTheme="minorEastAsia" w:hAnsi="Cambria Math" w:cstheme="minorHAnsi"/>
              <w:lang w:val="fi-FI"/>
            </w:rPr>
            <m:t> = 0</m:t>
          </m:r>
        </m:oMath>
      </m:oMathPara>
    </w:p>
    <w:p w14:paraId="4B5B4FA9" w14:textId="3057256B" w:rsidR="00660DD3" w:rsidRPr="000E0BF4" w:rsidRDefault="00F77ED8" w:rsidP="00CA3CC8">
      <w:pPr>
        <w:jc w:val="both"/>
        <w:rPr>
          <w:rFonts w:eastAsiaTheme="minorEastAsia" w:cstheme="minorHAnsi"/>
          <w:lang w:val="de-DE"/>
        </w:rPr>
      </w:pPr>
      <w:r>
        <w:rPr>
          <w:lang w:val="de"/>
        </w:rPr>
        <w:t>Zu erhalten. D</w:t>
      </w:r>
      <w:r w:rsidR="004D2415">
        <w:rPr>
          <w:lang w:val="de"/>
        </w:rPr>
        <w:t xml:space="preserve">ie Differentialgleichung eines harmonischen Oszillators mit </w:t>
      </w:r>
      <w:r w:rsidR="0073738A">
        <w:rPr>
          <w:lang w:val="de"/>
        </w:rPr>
        <w:t xml:space="preserve">Drehfrequenz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ω</m:t>
        </m:r>
      </m:oMath>
      <w:r w:rsidR="000445D8">
        <w:rPr>
          <w:lang w:val="de"/>
        </w:rPr>
        <w:t xml:space="preserve"> ist</w:t>
      </w:r>
    </w:p>
    <w:p w14:paraId="293E3541" w14:textId="7C16C49A" w:rsidR="002B5892" w:rsidRPr="005A45B6" w:rsidRDefault="00000000" w:rsidP="00CA3CC8">
      <w:pPr>
        <w:jc w:val="both"/>
        <w:rPr>
          <w:rFonts w:eastAsiaTheme="minorEastAsia" w:cstheme="minorHAnsi"/>
          <w:lang w:val="fi-FI"/>
        </w:rPr>
      </w:pPr>
      <m:oMathPara>
        <m:oMath>
          <m:acc>
            <m:accPr>
              <m:chr m:val="̈"/>
              <m:ctrlPr>
                <w:rPr>
                  <w:rFonts w:ascii="Cambria Math" w:eastAsiaTheme="minorEastAsia" w:hAnsi="Cambria Math" w:cstheme="minorHAnsi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 w:cstheme="minorHAnsi"/>
                </w:rPr>
                <m:t>x</m:t>
              </m:r>
            </m:e>
          </m:acc>
          <m:r>
            <w:rPr>
              <w:rFonts w:ascii="Cambria Math" w:eastAsiaTheme="minorEastAsia" w:hAnsi="Cambria Math" w:cstheme="minorHAnsi"/>
              <w:lang w:val="fi-FI"/>
            </w:rPr>
            <m:t>+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fi-FI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lang w:val="fi-FI"/>
                </w:rPr>
                <m:t>ω</m:t>
              </m:r>
            </m:e>
            <m:sup>
              <m:r>
                <w:rPr>
                  <w:rFonts w:ascii="Cambria Math" w:eastAsiaTheme="minorEastAsia" w:hAnsi="Cambria Math" w:cstheme="minorHAnsi"/>
                  <w:lang w:val="fi-FI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</w:rPr>
            <m:t>x</m:t>
          </m:r>
          <m:r>
            <w:rPr>
              <w:rFonts w:ascii="Cambria Math" w:eastAsiaTheme="minorEastAsia" w:hAnsi="Cambria Math" w:cstheme="minorHAnsi"/>
              <w:lang w:val="fi-FI"/>
            </w:rPr>
            <m:t> = 0.</m:t>
          </m:r>
        </m:oMath>
      </m:oMathPara>
    </w:p>
    <w:p w14:paraId="5692A3B6" w14:textId="65B7F51C" w:rsidR="005A45B6" w:rsidRPr="000E0BF4" w:rsidRDefault="005A45B6" w:rsidP="00CA3CC8">
      <w:pPr>
        <w:jc w:val="both"/>
        <w:rPr>
          <w:rFonts w:eastAsiaTheme="minorEastAsia" w:cstheme="minorHAnsi"/>
          <w:lang w:val="de-DE"/>
        </w:rPr>
      </w:pPr>
      <w:r w:rsidRPr="005A45B6">
        <w:rPr>
          <w:lang w:val="de"/>
        </w:rPr>
        <w:t xml:space="preserve">Daher identifizieren wir die </w:t>
      </w:r>
      <w:r w:rsidR="005B0834">
        <w:rPr>
          <w:lang w:val="de"/>
        </w:rPr>
        <w:t>Resonanz</w:t>
      </w:r>
      <w:r w:rsidRPr="005A45B6">
        <w:rPr>
          <w:lang w:val="de"/>
        </w:rPr>
        <w:t>f</w:t>
      </w:r>
      <w:r w:rsidR="00D8793B">
        <w:rPr>
          <w:lang w:val="de"/>
        </w:rPr>
        <w:t>r</w:t>
      </w:r>
      <w:r>
        <w:rPr>
          <w:lang w:val="de"/>
        </w:rPr>
        <w:t>equenz des Helmholtz-Resonators als</w:t>
      </w:r>
    </w:p>
    <w:p w14:paraId="303BD045" w14:textId="4F77978A" w:rsidR="07A2E7C9" w:rsidRPr="00CA3CC8" w:rsidRDefault="00000000" w:rsidP="00CA3CC8">
      <w:pPr>
        <w:jc w:val="both"/>
        <w:rPr>
          <w:rFonts w:eastAsiaTheme="minorEastAsia" w:cstheme="minorHAnsi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 w:cstheme="minorHAnsi"/>
                </w:rPr>
                <m:t>H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2π</m:t>
              </m:r>
            </m:den>
          </m:f>
          <m:rad>
            <m:radPr>
              <m:degHide m:val="1"/>
              <m:ctrlPr>
                <w:rPr>
                  <w:rFonts w:ascii="Cambria Math" w:eastAsiaTheme="minorEastAsia" w:hAnsi="Cambria Math" w:cstheme="minorHAnsi"/>
                </w:rPr>
              </m:ctrlPr>
            </m:radPr>
            <m:deg>
              <m:ctrlPr>
                <w:rPr>
                  <w:rFonts w:ascii="Cambria Math" w:eastAsiaTheme="minorEastAsia" w:hAnsi="Cambria Math" w:cstheme="minorHAnsi"/>
                  <w:i/>
                </w:rPr>
              </m:ctrlPr>
            </m:deg>
            <m:e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VL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="Cambria Math" w:cstheme="minorHAnsi"/>
            </w:rPr>
            <m:t>.</m:t>
          </m:r>
        </m:oMath>
      </m:oMathPara>
    </w:p>
    <w:sectPr w:rsidR="07A2E7C9" w:rsidRPr="00CA3CC8" w:rsidSect="00055142">
      <w:headerReference w:type="default" r:id="rId2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8C8D" w14:textId="77777777" w:rsidR="00BE6C5A" w:rsidRDefault="00BE6C5A" w:rsidP="00CB61ED">
      <w:pPr>
        <w:spacing w:after="0" w:line="240" w:lineRule="auto"/>
      </w:pPr>
      <w:r>
        <w:rPr>
          <w:lang w:val="de"/>
        </w:rPr>
        <w:separator/>
      </w:r>
    </w:p>
  </w:endnote>
  <w:endnote w:type="continuationSeparator" w:id="0">
    <w:p w14:paraId="31CE144C" w14:textId="77777777" w:rsidR="00BE6C5A" w:rsidRDefault="00BE6C5A" w:rsidP="00CB61ED">
      <w:pPr>
        <w:spacing w:after="0" w:line="240" w:lineRule="auto"/>
      </w:pPr>
      <w:r>
        <w:rPr>
          <w:lang w:val="de"/>
        </w:rPr>
        <w:continuationSeparator/>
      </w:r>
    </w:p>
  </w:endnote>
  <w:endnote w:type="continuationNotice" w:id="1">
    <w:p w14:paraId="34A08C13" w14:textId="77777777" w:rsidR="00BE6C5A" w:rsidRDefault="00BE6C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B6F1" w14:textId="77777777" w:rsidR="00BE6C5A" w:rsidRDefault="00BE6C5A" w:rsidP="00CB61ED">
      <w:pPr>
        <w:spacing w:after="0" w:line="240" w:lineRule="auto"/>
      </w:pPr>
      <w:r>
        <w:rPr>
          <w:lang w:val="de"/>
        </w:rPr>
        <w:separator/>
      </w:r>
    </w:p>
  </w:footnote>
  <w:footnote w:type="continuationSeparator" w:id="0">
    <w:p w14:paraId="7A3EF9BF" w14:textId="77777777" w:rsidR="00BE6C5A" w:rsidRDefault="00BE6C5A" w:rsidP="00CB61ED">
      <w:pPr>
        <w:spacing w:after="0" w:line="240" w:lineRule="auto"/>
      </w:pPr>
      <w:r>
        <w:rPr>
          <w:lang w:val="de"/>
        </w:rPr>
        <w:continuationSeparator/>
      </w:r>
    </w:p>
  </w:footnote>
  <w:footnote w:type="continuationNotice" w:id="1">
    <w:p w14:paraId="6795B16D" w14:textId="77777777" w:rsidR="00BE6C5A" w:rsidRDefault="00BE6C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7410" w14:textId="05637AA6" w:rsidR="00C43083" w:rsidRPr="00C43083" w:rsidRDefault="00C43083" w:rsidP="00C43083">
    <w:pPr>
      <w:pStyle w:val="Yltunniste"/>
      <w:pBdr>
        <w:bottom w:val="single" w:sz="4" w:space="1" w:color="auto"/>
      </w:pBdr>
      <w:rPr>
        <w:lang w:val="de-DE"/>
      </w:rPr>
    </w:pPr>
    <w:r w:rsidRPr="00C43083">
      <w:rPr>
        <w:lang w:val="de-DE"/>
      </w:rPr>
      <w:t>Wie modelliert man eine Flasche?</w:t>
    </w:r>
    <w:r>
      <w:rPr>
        <w:lang w:val="de-DE"/>
      </w:rPr>
      <w:tab/>
      <w:t>Lehrendenversion</w:t>
    </w:r>
    <w:r>
      <w:rPr>
        <w:lang w:val="de-DE"/>
      </w:rPr>
      <w:tab/>
      <w:t xml:space="preserve">Seite </w:t>
    </w:r>
    <w:r w:rsidRPr="00C43083">
      <w:rPr>
        <w:lang w:val="de-DE"/>
      </w:rPr>
      <w:fldChar w:fldCharType="begin"/>
    </w:r>
    <w:r w:rsidRPr="00C43083">
      <w:rPr>
        <w:lang w:val="de-DE"/>
      </w:rPr>
      <w:instrText>PAGE   \* MERGEFORMAT</w:instrText>
    </w:r>
    <w:r w:rsidRPr="00C43083">
      <w:rPr>
        <w:lang w:val="de-DE"/>
      </w:rPr>
      <w:fldChar w:fldCharType="separate"/>
    </w:r>
    <w:r w:rsidRPr="00C43083">
      <w:rPr>
        <w:lang w:val="de-DE"/>
      </w:rPr>
      <w:t>1</w:t>
    </w:r>
    <w:r w:rsidRPr="00C43083">
      <w:rPr>
        <w:lang w:val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523E"/>
    <w:multiLevelType w:val="hybridMultilevel"/>
    <w:tmpl w:val="C09237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E3404"/>
    <w:multiLevelType w:val="hybridMultilevel"/>
    <w:tmpl w:val="703647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10C91"/>
    <w:multiLevelType w:val="hybridMultilevel"/>
    <w:tmpl w:val="ACA6F18C"/>
    <w:lvl w:ilvl="0" w:tplc="1DA83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44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C4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C3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2A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87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E4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E0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2A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D2DD9"/>
    <w:multiLevelType w:val="hybridMultilevel"/>
    <w:tmpl w:val="18083F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773A8"/>
    <w:multiLevelType w:val="hybridMultilevel"/>
    <w:tmpl w:val="8AB81F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874807">
    <w:abstractNumId w:val="1"/>
  </w:num>
  <w:num w:numId="2" w16cid:durableId="1155147217">
    <w:abstractNumId w:val="3"/>
  </w:num>
  <w:num w:numId="3" w16cid:durableId="402993537">
    <w:abstractNumId w:val="0"/>
  </w:num>
  <w:num w:numId="4" w16cid:durableId="775178689">
    <w:abstractNumId w:val="2"/>
  </w:num>
  <w:num w:numId="5" w16cid:durableId="1272854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389E3E"/>
    <w:rsid w:val="00014BED"/>
    <w:rsid w:val="0001729B"/>
    <w:rsid w:val="00041065"/>
    <w:rsid w:val="00043D29"/>
    <w:rsid w:val="000445D8"/>
    <w:rsid w:val="00044A73"/>
    <w:rsid w:val="000472C7"/>
    <w:rsid w:val="00047FA6"/>
    <w:rsid w:val="00051E35"/>
    <w:rsid w:val="00055142"/>
    <w:rsid w:val="00083CA3"/>
    <w:rsid w:val="00087178"/>
    <w:rsid w:val="00090A04"/>
    <w:rsid w:val="00095A97"/>
    <w:rsid w:val="000B5368"/>
    <w:rsid w:val="000E0BF4"/>
    <w:rsid w:val="000E5C6E"/>
    <w:rsid w:val="000F569F"/>
    <w:rsid w:val="0010148C"/>
    <w:rsid w:val="001017F4"/>
    <w:rsid w:val="00101A62"/>
    <w:rsid w:val="001111D2"/>
    <w:rsid w:val="001214B6"/>
    <w:rsid w:val="0012382D"/>
    <w:rsid w:val="00134FA4"/>
    <w:rsid w:val="00136518"/>
    <w:rsid w:val="001518B1"/>
    <w:rsid w:val="00164904"/>
    <w:rsid w:val="0017182F"/>
    <w:rsid w:val="00175AE4"/>
    <w:rsid w:val="00177AC4"/>
    <w:rsid w:val="00182E7E"/>
    <w:rsid w:val="001971B9"/>
    <w:rsid w:val="001A2299"/>
    <w:rsid w:val="001A4E82"/>
    <w:rsid w:val="001B1EDA"/>
    <w:rsid w:val="001B4839"/>
    <w:rsid w:val="001B6C40"/>
    <w:rsid w:val="001C0861"/>
    <w:rsid w:val="001C4657"/>
    <w:rsid w:val="001E5779"/>
    <w:rsid w:val="001E681A"/>
    <w:rsid w:val="001F2BDF"/>
    <w:rsid w:val="00210EFA"/>
    <w:rsid w:val="00213B18"/>
    <w:rsid w:val="00222911"/>
    <w:rsid w:val="00224D57"/>
    <w:rsid w:val="0023047E"/>
    <w:rsid w:val="00237910"/>
    <w:rsid w:val="0024150D"/>
    <w:rsid w:val="00243E08"/>
    <w:rsid w:val="002466F4"/>
    <w:rsid w:val="002501CA"/>
    <w:rsid w:val="00261FCA"/>
    <w:rsid w:val="002664DA"/>
    <w:rsid w:val="00274894"/>
    <w:rsid w:val="0027584D"/>
    <w:rsid w:val="00277DD0"/>
    <w:rsid w:val="00283D4E"/>
    <w:rsid w:val="00290EC9"/>
    <w:rsid w:val="00291E80"/>
    <w:rsid w:val="002A0F49"/>
    <w:rsid w:val="002A1F2B"/>
    <w:rsid w:val="002A4428"/>
    <w:rsid w:val="002A6380"/>
    <w:rsid w:val="002A6E65"/>
    <w:rsid w:val="002B0462"/>
    <w:rsid w:val="002B5892"/>
    <w:rsid w:val="002B6351"/>
    <w:rsid w:val="002C11B5"/>
    <w:rsid w:val="002C4293"/>
    <w:rsid w:val="00302C6D"/>
    <w:rsid w:val="00303AFD"/>
    <w:rsid w:val="0031101A"/>
    <w:rsid w:val="0034095C"/>
    <w:rsid w:val="00342BC5"/>
    <w:rsid w:val="00350AE4"/>
    <w:rsid w:val="0035799B"/>
    <w:rsid w:val="00360880"/>
    <w:rsid w:val="00364002"/>
    <w:rsid w:val="00364667"/>
    <w:rsid w:val="00365928"/>
    <w:rsid w:val="003708A5"/>
    <w:rsid w:val="003725D5"/>
    <w:rsid w:val="00372D0E"/>
    <w:rsid w:val="0037588A"/>
    <w:rsid w:val="00383B0A"/>
    <w:rsid w:val="003846BA"/>
    <w:rsid w:val="0038633B"/>
    <w:rsid w:val="003968EF"/>
    <w:rsid w:val="003969B3"/>
    <w:rsid w:val="003A1D11"/>
    <w:rsid w:val="003D7198"/>
    <w:rsid w:val="003D7670"/>
    <w:rsid w:val="003E26DE"/>
    <w:rsid w:val="003F3210"/>
    <w:rsid w:val="00404617"/>
    <w:rsid w:val="00407BA2"/>
    <w:rsid w:val="00412815"/>
    <w:rsid w:val="00413059"/>
    <w:rsid w:val="00413BFD"/>
    <w:rsid w:val="004159C6"/>
    <w:rsid w:val="00416D16"/>
    <w:rsid w:val="0042098F"/>
    <w:rsid w:val="00425BD9"/>
    <w:rsid w:val="0042659B"/>
    <w:rsid w:val="00431ABC"/>
    <w:rsid w:val="00455DC5"/>
    <w:rsid w:val="0046445B"/>
    <w:rsid w:val="00465F71"/>
    <w:rsid w:val="004669C1"/>
    <w:rsid w:val="00476D70"/>
    <w:rsid w:val="004822A6"/>
    <w:rsid w:val="00487060"/>
    <w:rsid w:val="00491C14"/>
    <w:rsid w:val="004930B7"/>
    <w:rsid w:val="00496B94"/>
    <w:rsid w:val="004A5371"/>
    <w:rsid w:val="004A6D18"/>
    <w:rsid w:val="004A74AF"/>
    <w:rsid w:val="004B0C95"/>
    <w:rsid w:val="004B1144"/>
    <w:rsid w:val="004B222E"/>
    <w:rsid w:val="004C05F0"/>
    <w:rsid w:val="004C2E7D"/>
    <w:rsid w:val="004C49A4"/>
    <w:rsid w:val="004C5CAA"/>
    <w:rsid w:val="004C5CED"/>
    <w:rsid w:val="004D2415"/>
    <w:rsid w:val="004D5442"/>
    <w:rsid w:val="004D6165"/>
    <w:rsid w:val="004E35C1"/>
    <w:rsid w:val="004E4D70"/>
    <w:rsid w:val="004E5D70"/>
    <w:rsid w:val="004F05AC"/>
    <w:rsid w:val="004F273A"/>
    <w:rsid w:val="005010B4"/>
    <w:rsid w:val="00502177"/>
    <w:rsid w:val="00506141"/>
    <w:rsid w:val="00523A5C"/>
    <w:rsid w:val="00532AFA"/>
    <w:rsid w:val="00540005"/>
    <w:rsid w:val="005414DF"/>
    <w:rsid w:val="00546DC9"/>
    <w:rsid w:val="00551AF4"/>
    <w:rsid w:val="005540CA"/>
    <w:rsid w:val="00560E59"/>
    <w:rsid w:val="005617D3"/>
    <w:rsid w:val="00562131"/>
    <w:rsid w:val="0056661C"/>
    <w:rsid w:val="0057058E"/>
    <w:rsid w:val="00571599"/>
    <w:rsid w:val="005863AB"/>
    <w:rsid w:val="00594C9F"/>
    <w:rsid w:val="005A45B6"/>
    <w:rsid w:val="005B0177"/>
    <w:rsid w:val="005B0834"/>
    <w:rsid w:val="005B0BDB"/>
    <w:rsid w:val="005B3EBF"/>
    <w:rsid w:val="005B4B8B"/>
    <w:rsid w:val="005B55CE"/>
    <w:rsid w:val="005C09F1"/>
    <w:rsid w:val="005C4C75"/>
    <w:rsid w:val="005D6860"/>
    <w:rsid w:val="005E072C"/>
    <w:rsid w:val="005F4DB8"/>
    <w:rsid w:val="005F6366"/>
    <w:rsid w:val="005F67C7"/>
    <w:rsid w:val="0060058A"/>
    <w:rsid w:val="006018FB"/>
    <w:rsid w:val="00615D4C"/>
    <w:rsid w:val="006202AD"/>
    <w:rsid w:val="006259F2"/>
    <w:rsid w:val="00635B53"/>
    <w:rsid w:val="00637946"/>
    <w:rsid w:val="006455CF"/>
    <w:rsid w:val="0065081B"/>
    <w:rsid w:val="00656102"/>
    <w:rsid w:val="00660DD3"/>
    <w:rsid w:val="00663CCF"/>
    <w:rsid w:val="0066766E"/>
    <w:rsid w:val="006727D1"/>
    <w:rsid w:val="00674A72"/>
    <w:rsid w:val="006831D9"/>
    <w:rsid w:val="00696267"/>
    <w:rsid w:val="006A57C9"/>
    <w:rsid w:val="006A7318"/>
    <w:rsid w:val="006E00F5"/>
    <w:rsid w:val="006E3F18"/>
    <w:rsid w:val="006F4E32"/>
    <w:rsid w:val="006F55B4"/>
    <w:rsid w:val="00711E1E"/>
    <w:rsid w:val="007147DF"/>
    <w:rsid w:val="00715D22"/>
    <w:rsid w:val="00732EC3"/>
    <w:rsid w:val="00733A12"/>
    <w:rsid w:val="0073629C"/>
    <w:rsid w:val="0073738A"/>
    <w:rsid w:val="0074545D"/>
    <w:rsid w:val="00760333"/>
    <w:rsid w:val="007635AC"/>
    <w:rsid w:val="00771F54"/>
    <w:rsid w:val="007838EA"/>
    <w:rsid w:val="007850D9"/>
    <w:rsid w:val="00793110"/>
    <w:rsid w:val="00797E00"/>
    <w:rsid w:val="007A02A0"/>
    <w:rsid w:val="007A49E1"/>
    <w:rsid w:val="007B14C2"/>
    <w:rsid w:val="007B3BD6"/>
    <w:rsid w:val="007B459F"/>
    <w:rsid w:val="007E39A9"/>
    <w:rsid w:val="007E5485"/>
    <w:rsid w:val="007F2C7A"/>
    <w:rsid w:val="007F308B"/>
    <w:rsid w:val="007F3ED6"/>
    <w:rsid w:val="007F4953"/>
    <w:rsid w:val="007F5EB6"/>
    <w:rsid w:val="007F5F87"/>
    <w:rsid w:val="00800709"/>
    <w:rsid w:val="00804890"/>
    <w:rsid w:val="00804EB7"/>
    <w:rsid w:val="00805A84"/>
    <w:rsid w:val="00813900"/>
    <w:rsid w:val="008175DE"/>
    <w:rsid w:val="008219BE"/>
    <w:rsid w:val="00823978"/>
    <w:rsid w:val="00830A72"/>
    <w:rsid w:val="00831825"/>
    <w:rsid w:val="00836631"/>
    <w:rsid w:val="008416D7"/>
    <w:rsid w:val="00845400"/>
    <w:rsid w:val="0084684B"/>
    <w:rsid w:val="0085141B"/>
    <w:rsid w:val="00852AF4"/>
    <w:rsid w:val="008957E5"/>
    <w:rsid w:val="008979F3"/>
    <w:rsid w:val="008A2616"/>
    <w:rsid w:val="008B1FF8"/>
    <w:rsid w:val="008B77D8"/>
    <w:rsid w:val="008D0E43"/>
    <w:rsid w:val="008D229B"/>
    <w:rsid w:val="008E01BD"/>
    <w:rsid w:val="008E0855"/>
    <w:rsid w:val="008E1399"/>
    <w:rsid w:val="008E2D42"/>
    <w:rsid w:val="008E2DE5"/>
    <w:rsid w:val="008F3A76"/>
    <w:rsid w:val="008F3AED"/>
    <w:rsid w:val="008F524C"/>
    <w:rsid w:val="008F6EB1"/>
    <w:rsid w:val="009044F8"/>
    <w:rsid w:val="009070CE"/>
    <w:rsid w:val="0091587A"/>
    <w:rsid w:val="00915FC8"/>
    <w:rsid w:val="00916A2E"/>
    <w:rsid w:val="009216AC"/>
    <w:rsid w:val="00921D7B"/>
    <w:rsid w:val="0093159E"/>
    <w:rsid w:val="00933A89"/>
    <w:rsid w:val="0094388C"/>
    <w:rsid w:val="00952311"/>
    <w:rsid w:val="00963CC7"/>
    <w:rsid w:val="0097752C"/>
    <w:rsid w:val="00977836"/>
    <w:rsid w:val="0098151D"/>
    <w:rsid w:val="009835A6"/>
    <w:rsid w:val="00986221"/>
    <w:rsid w:val="009A178C"/>
    <w:rsid w:val="009A1C56"/>
    <w:rsid w:val="009A644E"/>
    <w:rsid w:val="009B09F0"/>
    <w:rsid w:val="009B0E60"/>
    <w:rsid w:val="009B3AED"/>
    <w:rsid w:val="009B5437"/>
    <w:rsid w:val="009C4BAC"/>
    <w:rsid w:val="009D59C9"/>
    <w:rsid w:val="009D7CFF"/>
    <w:rsid w:val="009F17FC"/>
    <w:rsid w:val="009F1CC3"/>
    <w:rsid w:val="009F3AE4"/>
    <w:rsid w:val="009F69B3"/>
    <w:rsid w:val="00A00A11"/>
    <w:rsid w:val="00A236E2"/>
    <w:rsid w:val="00A26097"/>
    <w:rsid w:val="00A34BCE"/>
    <w:rsid w:val="00A54550"/>
    <w:rsid w:val="00A546EE"/>
    <w:rsid w:val="00A604FE"/>
    <w:rsid w:val="00A647C6"/>
    <w:rsid w:val="00A66536"/>
    <w:rsid w:val="00A70CB9"/>
    <w:rsid w:val="00A767FF"/>
    <w:rsid w:val="00A85C13"/>
    <w:rsid w:val="00A91962"/>
    <w:rsid w:val="00A95676"/>
    <w:rsid w:val="00AA16F4"/>
    <w:rsid w:val="00AA5AAE"/>
    <w:rsid w:val="00AB3D9A"/>
    <w:rsid w:val="00AB7B01"/>
    <w:rsid w:val="00AC3AF3"/>
    <w:rsid w:val="00AC769F"/>
    <w:rsid w:val="00AD2677"/>
    <w:rsid w:val="00AD7066"/>
    <w:rsid w:val="00B01395"/>
    <w:rsid w:val="00B02382"/>
    <w:rsid w:val="00B11E15"/>
    <w:rsid w:val="00B17512"/>
    <w:rsid w:val="00B207DB"/>
    <w:rsid w:val="00B26197"/>
    <w:rsid w:val="00B400A4"/>
    <w:rsid w:val="00B418D0"/>
    <w:rsid w:val="00B4461F"/>
    <w:rsid w:val="00B55634"/>
    <w:rsid w:val="00B65296"/>
    <w:rsid w:val="00B662D5"/>
    <w:rsid w:val="00B6654A"/>
    <w:rsid w:val="00B677D3"/>
    <w:rsid w:val="00B73795"/>
    <w:rsid w:val="00B75169"/>
    <w:rsid w:val="00B8117A"/>
    <w:rsid w:val="00B90403"/>
    <w:rsid w:val="00B934A5"/>
    <w:rsid w:val="00B949C5"/>
    <w:rsid w:val="00BB1E63"/>
    <w:rsid w:val="00BB3C91"/>
    <w:rsid w:val="00BD2E55"/>
    <w:rsid w:val="00BE6C5A"/>
    <w:rsid w:val="00C23811"/>
    <w:rsid w:val="00C24821"/>
    <w:rsid w:val="00C30E11"/>
    <w:rsid w:val="00C41F10"/>
    <w:rsid w:val="00C43083"/>
    <w:rsid w:val="00C50DAA"/>
    <w:rsid w:val="00C56CB4"/>
    <w:rsid w:val="00C56E1C"/>
    <w:rsid w:val="00C700CF"/>
    <w:rsid w:val="00C71190"/>
    <w:rsid w:val="00C713C2"/>
    <w:rsid w:val="00C824F8"/>
    <w:rsid w:val="00C8779F"/>
    <w:rsid w:val="00C9006F"/>
    <w:rsid w:val="00C92190"/>
    <w:rsid w:val="00C94781"/>
    <w:rsid w:val="00C956E4"/>
    <w:rsid w:val="00C95E81"/>
    <w:rsid w:val="00C97120"/>
    <w:rsid w:val="00C97F27"/>
    <w:rsid w:val="00CA115F"/>
    <w:rsid w:val="00CA3CC8"/>
    <w:rsid w:val="00CA4854"/>
    <w:rsid w:val="00CB1F14"/>
    <w:rsid w:val="00CB202C"/>
    <w:rsid w:val="00CB4D3C"/>
    <w:rsid w:val="00CB61ED"/>
    <w:rsid w:val="00CB6AB3"/>
    <w:rsid w:val="00CC3B9C"/>
    <w:rsid w:val="00CD3352"/>
    <w:rsid w:val="00CD6106"/>
    <w:rsid w:val="00CDBF4A"/>
    <w:rsid w:val="00CE1B0E"/>
    <w:rsid w:val="00CE6AFB"/>
    <w:rsid w:val="00CE7061"/>
    <w:rsid w:val="00CF07F5"/>
    <w:rsid w:val="00CF08DA"/>
    <w:rsid w:val="00CF6310"/>
    <w:rsid w:val="00D008E6"/>
    <w:rsid w:val="00D116CE"/>
    <w:rsid w:val="00D147FA"/>
    <w:rsid w:val="00D14DA0"/>
    <w:rsid w:val="00D3586C"/>
    <w:rsid w:val="00D47430"/>
    <w:rsid w:val="00D477BC"/>
    <w:rsid w:val="00D533E8"/>
    <w:rsid w:val="00D60A5D"/>
    <w:rsid w:val="00D60AF9"/>
    <w:rsid w:val="00D70C66"/>
    <w:rsid w:val="00D72347"/>
    <w:rsid w:val="00D72D74"/>
    <w:rsid w:val="00D80936"/>
    <w:rsid w:val="00D83C83"/>
    <w:rsid w:val="00D84D99"/>
    <w:rsid w:val="00D87201"/>
    <w:rsid w:val="00D8793B"/>
    <w:rsid w:val="00D90098"/>
    <w:rsid w:val="00D905C7"/>
    <w:rsid w:val="00D91572"/>
    <w:rsid w:val="00D91B26"/>
    <w:rsid w:val="00D96773"/>
    <w:rsid w:val="00DC0019"/>
    <w:rsid w:val="00DC0AD7"/>
    <w:rsid w:val="00DC5EE6"/>
    <w:rsid w:val="00DD3314"/>
    <w:rsid w:val="00DD7F15"/>
    <w:rsid w:val="00DE27E2"/>
    <w:rsid w:val="00DE428D"/>
    <w:rsid w:val="00E020CF"/>
    <w:rsid w:val="00E10458"/>
    <w:rsid w:val="00E11B6D"/>
    <w:rsid w:val="00E133EE"/>
    <w:rsid w:val="00E23410"/>
    <w:rsid w:val="00E26DE9"/>
    <w:rsid w:val="00E33178"/>
    <w:rsid w:val="00E37902"/>
    <w:rsid w:val="00E468BA"/>
    <w:rsid w:val="00E51042"/>
    <w:rsid w:val="00E513D1"/>
    <w:rsid w:val="00E655CD"/>
    <w:rsid w:val="00E86A5E"/>
    <w:rsid w:val="00E90CC1"/>
    <w:rsid w:val="00E9473A"/>
    <w:rsid w:val="00EA162A"/>
    <w:rsid w:val="00EA64D9"/>
    <w:rsid w:val="00EA66B5"/>
    <w:rsid w:val="00EB15E8"/>
    <w:rsid w:val="00EC3AE8"/>
    <w:rsid w:val="00EC6A9E"/>
    <w:rsid w:val="00ED1D2A"/>
    <w:rsid w:val="00ED300B"/>
    <w:rsid w:val="00ED35F9"/>
    <w:rsid w:val="00ED55B1"/>
    <w:rsid w:val="00EE0D4D"/>
    <w:rsid w:val="00EE25E2"/>
    <w:rsid w:val="00F04EAD"/>
    <w:rsid w:val="00F27F3D"/>
    <w:rsid w:val="00F3275F"/>
    <w:rsid w:val="00F41280"/>
    <w:rsid w:val="00F42D73"/>
    <w:rsid w:val="00F44782"/>
    <w:rsid w:val="00F52351"/>
    <w:rsid w:val="00F56647"/>
    <w:rsid w:val="00F5781A"/>
    <w:rsid w:val="00F60E5A"/>
    <w:rsid w:val="00F63170"/>
    <w:rsid w:val="00F70853"/>
    <w:rsid w:val="00F7557B"/>
    <w:rsid w:val="00F76DCC"/>
    <w:rsid w:val="00F77661"/>
    <w:rsid w:val="00F77ED8"/>
    <w:rsid w:val="00F77F44"/>
    <w:rsid w:val="00F90758"/>
    <w:rsid w:val="00FA7459"/>
    <w:rsid w:val="00FD07FC"/>
    <w:rsid w:val="00FD2BEC"/>
    <w:rsid w:val="00FD5EE0"/>
    <w:rsid w:val="00FD609D"/>
    <w:rsid w:val="00FE00A8"/>
    <w:rsid w:val="00FE0B90"/>
    <w:rsid w:val="00FE1E24"/>
    <w:rsid w:val="00FE6AFB"/>
    <w:rsid w:val="024F4F29"/>
    <w:rsid w:val="05D3D460"/>
    <w:rsid w:val="07A2E7C9"/>
    <w:rsid w:val="0B1C9A48"/>
    <w:rsid w:val="0F33308A"/>
    <w:rsid w:val="0FAE0D1C"/>
    <w:rsid w:val="11B896CB"/>
    <w:rsid w:val="138D3967"/>
    <w:rsid w:val="16763406"/>
    <w:rsid w:val="171EDEFD"/>
    <w:rsid w:val="1E99BD7E"/>
    <w:rsid w:val="2122C50D"/>
    <w:rsid w:val="212E6E13"/>
    <w:rsid w:val="2B92D18C"/>
    <w:rsid w:val="2B9A269F"/>
    <w:rsid w:val="2BCC7A0E"/>
    <w:rsid w:val="2C37FCCB"/>
    <w:rsid w:val="30B91A76"/>
    <w:rsid w:val="32F2424B"/>
    <w:rsid w:val="3BCDA0AB"/>
    <w:rsid w:val="472ED884"/>
    <w:rsid w:val="47C64293"/>
    <w:rsid w:val="48191A5A"/>
    <w:rsid w:val="494F3EBB"/>
    <w:rsid w:val="4A76EE6B"/>
    <w:rsid w:val="4DF140A7"/>
    <w:rsid w:val="5027DB27"/>
    <w:rsid w:val="50ABE826"/>
    <w:rsid w:val="5247B887"/>
    <w:rsid w:val="5274B609"/>
    <w:rsid w:val="57138A91"/>
    <w:rsid w:val="571DE5E0"/>
    <w:rsid w:val="5A0CA6A5"/>
    <w:rsid w:val="5B4EEA99"/>
    <w:rsid w:val="5CA5F1BC"/>
    <w:rsid w:val="5D389E3E"/>
    <w:rsid w:val="617962DF"/>
    <w:rsid w:val="62BD8202"/>
    <w:rsid w:val="64EEA57D"/>
    <w:rsid w:val="667017A9"/>
    <w:rsid w:val="691E1F17"/>
    <w:rsid w:val="72A9B3C2"/>
    <w:rsid w:val="73334490"/>
    <w:rsid w:val="73F73FAD"/>
    <w:rsid w:val="7417C4EA"/>
    <w:rsid w:val="74CF14F1"/>
    <w:rsid w:val="7806B5B3"/>
    <w:rsid w:val="7ED3E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89E3E"/>
  <w15:chartTrackingRefBased/>
  <w15:docId w15:val="{F56DE88D-67FE-4AC3-8E88-964A497A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E0BF4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0E0BF4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95A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autoRedefine/>
    <w:uiPriority w:val="9"/>
    <w:unhideWhenUsed/>
    <w:qFormat/>
    <w:rsid w:val="000E0BF4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D70C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CB61ED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CB61ED"/>
    <w:rPr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CB61ED"/>
    <w:rPr>
      <w:vertAlign w:val="superscript"/>
    </w:rPr>
  </w:style>
  <w:style w:type="paragraph" w:styleId="Yltunniste">
    <w:name w:val="header"/>
    <w:basedOn w:val="Normaali"/>
    <w:link w:val="YltunnisteChar"/>
    <w:uiPriority w:val="99"/>
    <w:unhideWhenUsed/>
    <w:rsid w:val="00CB6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B61ED"/>
  </w:style>
  <w:style w:type="paragraph" w:styleId="Alatunniste">
    <w:name w:val="footer"/>
    <w:basedOn w:val="Normaali"/>
    <w:link w:val="AlatunnisteChar"/>
    <w:uiPriority w:val="99"/>
    <w:unhideWhenUsed/>
    <w:rsid w:val="00CB6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B61ED"/>
  </w:style>
  <w:style w:type="character" w:styleId="Paikkamerkkiteksti">
    <w:name w:val="Placeholder Text"/>
    <w:basedOn w:val="Kappaleenoletusfontti"/>
    <w:uiPriority w:val="99"/>
    <w:semiHidden/>
    <w:rsid w:val="007A49E1"/>
    <w:rPr>
      <w:color w:val="808080"/>
    </w:rPr>
  </w:style>
  <w:style w:type="paragraph" w:styleId="Muutos">
    <w:name w:val="Revision"/>
    <w:hidden/>
    <w:uiPriority w:val="99"/>
    <w:semiHidden/>
    <w:rsid w:val="00AA5AAE"/>
    <w:pPr>
      <w:spacing w:after="0" w:line="240" w:lineRule="auto"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F569F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F569F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0F569F"/>
    <w:rPr>
      <w:vertAlign w:val="superscript"/>
    </w:rPr>
  </w:style>
  <w:style w:type="character" w:customStyle="1" w:styleId="Otsikko1Char">
    <w:name w:val="Otsikko 1 Char"/>
    <w:basedOn w:val="Kappaleenoletusfontti"/>
    <w:link w:val="Otsikko1"/>
    <w:uiPriority w:val="9"/>
    <w:rsid w:val="000E0BF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0E0BF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E90CC1"/>
    <w:pPr>
      <w:ind w:left="720"/>
      <w:contextualSpacing/>
    </w:pPr>
  </w:style>
  <w:style w:type="character" w:customStyle="1" w:styleId="normaltextrun">
    <w:name w:val="normaltextrun"/>
    <w:basedOn w:val="Kappaleenoletusfontti"/>
    <w:rsid w:val="0031101A"/>
  </w:style>
  <w:style w:type="character" w:customStyle="1" w:styleId="eop">
    <w:name w:val="eop"/>
    <w:basedOn w:val="Kappaleenoletusfontti"/>
    <w:rsid w:val="0031101A"/>
  </w:style>
  <w:style w:type="character" w:customStyle="1" w:styleId="Otsikko3Char">
    <w:name w:val="Otsikko 3 Char"/>
    <w:basedOn w:val="Kappaleenoletusfontti"/>
    <w:link w:val="Otsikko3"/>
    <w:uiPriority w:val="9"/>
    <w:rsid w:val="00095A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0E0BF4"/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rsid w:val="00D70C6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Kuvaotsikko">
    <w:name w:val="caption"/>
    <w:basedOn w:val="Normaali"/>
    <w:next w:val="Normaali"/>
    <w:uiPriority w:val="35"/>
    <w:unhideWhenUsed/>
    <w:qFormat/>
    <w:rsid w:val="00C8779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4E5D7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E5D7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E5D7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E5D7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E5D70"/>
    <w:rPr>
      <w:b/>
      <w:bCs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476D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://www.jyu.fi/digiphyslab" TargetMode="External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eativecommons.org/licenses/by-sa/4.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A4114-5D6C-49EC-ABFC-34834F58A374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2.xml><?xml version="1.0" encoding="utf-8"?>
<ds:datastoreItem xmlns:ds="http://schemas.openxmlformats.org/officeDocument/2006/customXml" ds:itemID="{8EAC6DE7-590D-4A3C-AF96-67C242394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49872-94AD-4C10-9FCA-620FC0238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1564</Words>
  <Characters>12670</Characters>
  <Application>Microsoft Office Word</Application>
  <DocSecurity>0</DocSecurity>
  <Lines>105</Lines>
  <Paragraphs>28</Paragraphs>
  <ScaleCrop>false</ScaleCrop>
  <Company/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Hassinen, Victoria</cp:lastModifiedBy>
  <cp:revision>13</cp:revision>
  <cp:lastPrinted>2023-02-24T09:09:00Z</cp:lastPrinted>
  <dcterms:created xsi:type="dcterms:W3CDTF">2021-11-25T08:06:00Z</dcterms:created>
  <dcterms:modified xsi:type="dcterms:W3CDTF">2023-02-24T09:09:00Z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