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E472" w14:textId="4C1293E2" w:rsidR="00B21306" w:rsidRPr="0083435F" w:rsidRDefault="0083435F" w:rsidP="00B21306">
      <w:pPr>
        <w:pStyle w:val="Heading1"/>
        <w:rPr>
          <w:sz w:val="36"/>
          <w:szCs w:val="36"/>
        </w:rPr>
      </w:pPr>
      <w:r w:rsidRPr="0083435F">
        <w:rPr>
          <w:sz w:val="36"/>
          <w:szCs w:val="36"/>
        </w:rPr>
        <w:t>Psykologian tohtoriohjelman opetussuunnitelma 2020</w:t>
      </w:r>
      <w:r w:rsidR="001634DB" w:rsidRPr="001634DB">
        <w:t>–</w:t>
      </w:r>
      <w:r w:rsidRPr="0083435F">
        <w:rPr>
          <w:sz w:val="36"/>
          <w:szCs w:val="36"/>
        </w:rPr>
        <w:t>2024</w:t>
      </w:r>
      <w:r w:rsidR="00B21306" w:rsidRPr="0083435F">
        <w:rPr>
          <w:sz w:val="36"/>
          <w:szCs w:val="36"/>
        </w:rPr>
        <w:t xml:space="preserve"> </w:t>
      </w:r>
    </w:p>
    <w:p w14:paraId="5CA8E8DE" w14:textId="77777777" w:rsidR="00B21306" w:rsidRPr="00E16BC6" w:rsidRDefault="00B21306" w:rsidP="00B21306">
      <w:pPr>
        <w:pStyle w:val="Heading1"/>
        <w:rPr>
          <w:sz w:val="32"/>
          <w:szCs w:val="32"/>
        </w:rPr>
      </w:pPr>
    </w:p>
    <w:p w14:paraId="5B89A1C5" w14:textId="4A0FDE0E" w:rsidR="00E407F1" w:rsidRPr="00E16BC6" w:rsidRDefault="00E407F1" w:rsidP="00241599">
      <w:pPr>
        <w:rPr>
          <w:rFonts w:eastAsiaTheme="minorHAnsi"/>
          <w:lang w:eastAsia="en-US"/>
        </w:rPr>
      </w:pPr>
      <w:bookmarkStart w:id="0" w:name="suoritettavat_tutkinnot"/>
      <w:bookmarkEnd w:id="0"/>
    </w:p>
    <w:p w14:paraId="46D1635E" w14:textId="10B8003E" w:rsidR="00E407F1" w:rsidRPr="00E16BC6" w:rsidRDefault="00E407F1" w:rsidP="00E407F1">
      <w:r w:rsidRPr="00E16BC6">
        <w:t xml:space="preserve">Tohtorin tutkinto koostuu neljästä opintojaksosta (yht. 40 op), joiden sisältö ja osasuoritusten laajuudet neuvotellaan ohjaajan kanssa, ja väitöskirjasta. Pääsääntönä on, että opinnot ovat vähintään syventävän tasoisia. Poikkeuksena voi olla esimerkiksi menetelmäopintojen täydentäminen ja ajantasaistaminen ensin aineopintojen tasolla. Opintojaksojen sisältävät seuraavia yleisiä osaamistavoitteita (rehtorin päätös 12.12.2016): 1) Tieteenalakohtainen osaaminen, 2) Tutkimusosaaminen, 3) </w:t>
      </w:r>
      <w:r w:rsidR="003E5208" w:rsidRPr="00E16BC6">
        <w:t>Muu ammatillisen asiantuntijuuden rakentumista tukeva osaaminen</w:t>
      </w:r>
      <w:r w:rsidR="003E5208" w:rsidRPr="00E16BC6">
        <w:t xml:space="preserve"> </w:t>
      </w:r>
      <w:r w:rsidRPr="00E16BC6">
        <w:t>ja 4)</w:t>
      </w:r>
      <w:r w:rsidR="003E5208">
        <w:t xml:space="preserve"> </w:t>
      </w:r>
      <w:r w:rsidR="003E5208" w:rsidRPr="00E16BC6">
        <w:t>Viestintäosaaminen</w:t>
      </w:r>
      <w:r w:rsidRPr="00E16BC6">
        <w:t>.</w:t>
      </w:r>
    </w:p>
    <w:p w14:paraId="69DDED94" w14:textId="77777777" w:rsidR="00E407F1" w:rsidRPr="00E16BC6" w:rsidRDefault="00E407F1" w:rsidP="00E407F1"/>
    <w:p w14:paraId="01F03E35" w14:textId="7DEE1273" w:rsidR="00E407F1" w:rsidRPr="00E16BC6" w:rsidRDefault="00E407F1" w:rsidP="00E407F1">
      <w:r w:rsidRPr="00E16BC6">
        <w:t>Tohtoritutkinnon opintojaksojen osasuoritukset ovat voimassa 10 vuotta. Yli 10 vuotta vanhoja opintosuorituksia voidaan erityistapauksessa hyväksyä tohtoritutkinnon osaksi. Tohtoriopiskelijan aikaisempia opintoja tai muuten hankittua osaamista voidaan lukea hyväksi tohtorintutkintoon Jyväskylän yliopiston tutkintosäännön 33 § mukaisesti. Esityksen hyväksi</w:t>
      </w:r>
      <w:r w:rsidR="003E5208">
        <w:t xml:space="preserve"> </w:t>
      </w:r>
      <w:r w:rsidRPr="00E16BC6">
        <w:t xml:space="preserve">lukemisesta tekee opiskelija yhdessä ohjaajiensa kanssa. Tiedekunnan dekaani päättää hyväksi lukemisesta. </w:t>
      </w:r>
    </w:p>
    <w:p w14:paraId="788F18E5" w14:textId="77777777" w:rsidR="00E407F1" w:rsidRPr="00E16BC6" w:rsidRDefault="00E407F1" w:rsidP="00E407F1"/>
    <w:p w14:paraId="24BAF864" w14:textId="77777777" w:rsidR="00E407F1" w:rsidRPr="00E16BC6" w:rsidRDefault="00E407F1" w:rsidP="00E407F1">
      <w:r w:rsidRPr="00E16BC6">
        <w:t xml:space="preserve">Opintojaksojen suunnittelussa tulee ottaa huomioon perehtyneisyyden hankkiminen aiempaa osaamista tukevalta alueelta ja suoritustapojen monipuolisuus (pääsääntöisesti opintojakson sisällä ei yksipuolisesti pelkästään kontaktiopetukseen osallistumista tai vain esseesuorituksia tai esitelmiä. Opintojen suunnittelussa on tärkeää ottaa huomioon relevantti kohdentaminen niin, että 40 opintopistettä täyttyy ja kokonaisuus tukee suoraan väitöstutkimusta ja valmistumista odotetussa ajassa. </w:t>
      </w:r>
    </w:p>
    <w:p w14:paraId="33D7CDCD" w14:textId="77777777" w:rsidR="00E407F1" w:rsidRPr="00E16BC6" w:rsidRDefault="00E407F1" w:rsidP="00E407F1"/>
    <w:p w14:paraId="78FEF129" w14:textId="29640E35" w:rsidR="00E407F1" w:rsidRPr="00E16BC6" w:rsidRDefault="00E407F1" w:rsidP="00E407F1">
      <w:r w:rsidRPr="00E16BC6">
        <w:t xml:space="preserve">Ihmistieteiden metodikeskuksen (IHME) ja eri tiedekuntien tai osaamiskeskittymien tarjoamien kurssien tarjotin vaihtelee vuosittain. Tohtoriopintojen alussa suositetaan </w:t>
      </w:r>
      <w:r w:rsidR="000D3979" w:rsidRPr="00E16BC6">
        <w:t>osallistumista johonkin järjestettävään orientaatiotapahtumaan</w:t>
      </w:r>
      <w:r w:rsidRPr="00E16BC6">
        <w:t>.</w:t>
      </w:r>
    </w:p>
    <w:p w14:paraId="0911BD03" w14:textId="088CD736" w:rsidR="00523BC3" w:rsidRPr="00E16BC6" w:rsidRDefault="00523BC3" w:rsidP="00E407F1"/>
    <w:p w14:paraId="3EDB037C" w14:textId="4FDC3949" w:rsidR="00807177" w:rsidRPr="00E16BC6" w:rsidRDefault="000D3979" w:rsidP="00523BC3">
      <w:r w:rsidRPr="00E16BC6">
        <w:t xml:space="preserve">Opintokokonaisuuksien kuvauksessa käytetyt koodit, </w:t>
      </w:r>
      <w:proofErr w:type="spellStart"/>
      <w:r w:rsidRPr="00E16BC6">
        <w:t>PSYJxxxx</w:t>
      </w:r>
      <w:proofErr w:type="spellEnd"/>
      <w:r w:rsidR="00D17F44" w:rsidRPr="00E16BC6">
        <w:t>, viittaavat tohtoriohjelmien opintosuunnitelmiin ja ne ovat käytössä myös Sisu</w:t>
      </w:r>
      <w:r w:rsidR="003E5208">
        <w:t>-o</w:t>
      </w:r>
      <w:r w:rsidR="00D17F44" w:rsidRPr="00E16BC6">
        <w:t>hjelmassa.</w:t>
      </w:r>
    </w:p>
    <w:p w14:paraId="6565664D" w14:textId="791F5C1D" w:rsidR="00807177" w:rsidRPr="00E16BC6" w:rsidRDefault="00807177" w:rsidP="00523BC3">
      <w:pPr>
        <w:rPr>
          <w:b/>
          <w:sz w:val="28"/>
          <w:szCs w:val="28"/>
        </w:rPr>
      </w:pPr>
    </w:p>
    <w:p w14:paraId="517EDC4C" w14:textId="0C65F091" w:rsidR="00E16BC6" w:rsidRPr="00E16BC6" w:rsidRDefault="00E16BC6" w:rsidP="00E16BC6">
      <w:pPr>
        <w:pStyle w:val="ListParagraph"/>
        <w:numPr>
          <w:ilvl w:val="0"/>
          <w:numId w:val="36"/>
        </w:numPr>
        <w:ind w:left="284"/>
        <w:rPr>
          <w:b/>
          <w:sz w:val="28"/>
          <w:szCs w:val="28"/>
        </w:rPr>
      </w:pPr>
      <w:r w:rsidRPr="00E16BC6">
        <w:rPr>
          <w:b/>
          <w:sz w:val="28"/>
          <w:szCs w:val="28"/>
        </w:rPr>
        <w:t>PSYJ1200 Tieteenalakohtainen osaaminen</w:t>
      </w:r>
    </w:p>
    <w:p w14:paraId="0AD63045" w14:textId="77777777" w:rsidR="00E16BC6" w:rsidRPr="00E16BC6" w:rsidRDefault="00E16BC6" w:rsidP="00E16BC6"/>
    <w:p w14:paraId="560686AE" w14:textId="77777777" w:rsidR="00E16BC6" w:rsidRPr="00E16BC6" w:rsidRDefault="00E16BC6" w:rsidP="00E16BC6">
      <w:r w:rsidRPr="001634DB">
        <w:rPr>
          <w:b/>
          <w:bCs/>
        </w:rPr>
        <w:t>Laajuus</w:t>
      </w:r>
      <w:r w:rsidRPr="00E16BC6">
        <w:t>: 20 op</w:t>
      </w:r>
    </w:p>
    <w:p w14:paraId="5369A337" w14:textId="77777777" w:rsidR="00E16BC6" w:rsidRPr="00E16BC6" w:rsidRDefault="00E16BC6" w:rsidP="00E16BC6"/>
    <w:p w14:paraId="16A7654D" w14:textId="77777777" w:rsidR="00E16BC6" w:rsidRPr="00E16BC6" w:rsidRDefault="00E16BC6" w:rsidP="00E16BC6">
      <w:r w:rsidRPr="001634DB">
        <w:rPr>
          <w:b/>
          <w:bCs/>
        </w:rPr>
        <w:t>Osaamistavoitteet</w:t>
      </w:r>
      <w:r w:rsidRPr="00E16BC6">
        <w:t>:</w:t>
      </w:r>
    </w:p>
    <w:p w14:paraId="2EE5F92A" w14:textId="3146D45E" w:rsidR="00E16BC6" w:rsidRPr="00E16BC6" w:rsidRDefault="00E16BC6" w:rsidP="00E16BC6">
      <w:r w:rsidRPr="00E16BC6">
        <w:t>•</w:t>
      </w:r>
      <w:r w:rsidR="003E5208">
        <w:t xml:space="preserve"> </w:t>
      </w:r>
      <w:r w:rsidRPr="00E16BC6">
        <w:t xml:space="preserve">hallitsee oman tutkimusaiheensa kannalta keskeisen tutkimuksen ja tieteellisen keskustelun. </w:t>
      </w:r>
    </w:p>
    <w:p w14:paraId="479490F5" w14:textId="054DE71B" w:rsidR="00E16BC6" w:rsidRPr="00E16BC6" w:rsidRDefault="00E16BC6" w:rsidP="00E16BC6">
      <w:r w:rsidRPr="00E16BC6">
        <w:t>•</w:t>
      </w:r>
      <w:r w:rsidR="003E5208">
        <w:t xml:space="preserve"> </w:t>
      </w:r>
      <w:r w:rsidRPr="00E16BC6">
        <w:t>kykenee osallistumaan myös kansainväliseen tieteelliseen keskusteluun.</w:t>
      </w:r>
    </w:p>
    <w:p w14:paraId="2989D289" w14:textId="77777777" w:rsidR="00E16BC6" w:rsidRPr="00E16BC6" w:rsidRDefault="00E16BC6" w:rsidP="00E16BC6"/>
    <w:p w14:paraId="275E88D8" w14:textId="77777777" w:rsidR="00E16BC6" w:rsidRPr="00E16BC6" w:rsidRDefault="00E16BC6" w:rsidP="00E16BC6">
      <w:r w:rsidRPr="001634DB">
        <w:rPr>
          <w:b/>
          <w:bCs/>
        </w:rPr>
        <w:t>Sisältö</w:t>
      </w:r>
      <w:r w:rsidRPr="00E16BC6">
        <w:t>:</w:t>
      </w:r>
    </w:p>
    <w:p w14:paraId="70B48D59" w14:textId="28D8E5B2" w:rsidR="00E16BC6" w:rsidRPr="00E16BC6" w:rsidRDefault="00E16BC6" w:rsidP="00E16BC6">
      <w:pPr>
        <w:rPr>
          <w:rFonts w:eastAsiaTheme="minorHAnsi"/>
          <w:lang w:eastAsia="en-US"/>
        </w:rPr>
      </w:pPr>
      <w:r w:rsidRPr="00E16BC6">
        <w:rPr>
          <w:rFonts w:eastAsiaTheme="minorHAnsi"/>
          <w:lang w:eastAsia="en-US"/>
        </w:rPr>
        <w:t>• Tutkimusaiheen keskeinen kirjallisuus tai opinnot, muut tutkimusaiheeseen perustuvat vähintään aineopintojen tasoiset opinnot, tutkimukseen perustuvat esitelmät tieteellisissä tapahtumissa ja artikkelit tieteellisissä julkaisuissa.</w:t>
      </w:r>
    </w:p>
    <w:p w14:paraId="599F8917" w14:textId="77777777" w:rsidR="00E16BC6" w:rsidRPr="00E16BC6" w:rsidRDefault="00E16BC6" w:rsidP="00E16BC6">
      <w:pPr>
        <w:rPr>
          <w:rFonts w:eastAsiaTheme="minorHAnsi"/>
          <w:lang w:eastAsia="en-US"/>
        </w:rPr>
      </w:pPr>
      <w:r w:rsidRPr="00E16BC6">
        <w:rPr>
          <w:rFonts w:eastAsiaTheme="minorHAnsi"/>
          <w:lang w:eastAsia="en-US"/>
        </w:rPr>
        <w:t>• Väitöstutkimusta tukeva tutkijaliikkuvuus</w:t>
      </w:r>
    </w:p>
    <w:p w14:paraId="585B17A3" w14:textId="77777777" w:rsidR="00E16BC6" w:rsidRPr="00E16BC6" w:rsidRDefault="00E16BC6" w:rsidP="00E16BC6">
      <w:pPr>
        <w:rPr>
          <w:rFonts w:eastAsiaTheme="minorHAnsi"/>
          <w:lang w:eastAsia="en-US"/>
        </w:rPr>
      </w:pPr>
    </w:p>
    <w:p w14:paraId="39A6B1B7" w14:textId="77777777" w:rsidR="00E16BC6" w:rsidRPr="00E16BC6" w:rsidRDefault="00E16BC6" w:rsidP="00E16BC6">
      <w:pPr>
        <w:rPr>
          <w:rFonts w:eastAsiaTheme="minorHAnsi"/>
          <w:lang w:eastAsia="en-US"/>
        </w:rPr>
      </w:pPr>
      <w:r w:rsidRPr="001634DB">
        <w:rPr>
          <w:rFonts w:eastAsiaTheme="minorHAnsi"/>
          <w:b/>
          <w:bCs/>
          <w:lang w:eastAsia="en-US"/>
        </w:rPr>
        <w:t>Suoritustavat</w:t>
      </w:r>
      <w:r w:rsidRPr="00E16BC6">
        <w:rPr>
          <w:rFonts w:eastAsiaTheme="minorHAnsi"/>
          <w:lang w:eastAsia="en-US"/>
        </w:rPr>
        <w:t xml:space="preserve">: </w:t>
      </w:r>
    </w:p>
    <w:p w14:paraId="034C8631" w14:textId="2A67FCF5" w:rsidR="002B4A93" w:rsidRDefault="00E16BC6" w:rsidP="00E16BC6">
      <w:pPr>
        <w:rPr>
          <w:rFonts w:eastAsiaTheme="minorHAnsi"/>
          <w:lang w:eastAsia="en-US"/>
        </w:rPr>
      </w:pPr>
      <w:r w:rsidRPr="00E16BC6">
        <w:rPr>
          <w:rFonts w:eastAsiaTheme="minorHAnsi"/>
          <w:lang w:eastAsia="en-US"/>
        </w:rPr>
        <w:t>• Opinnot koostuvat esimerkiksi kirjallisuuden tenttimisestä/esseiden kirjoittamisesta, oman tutkimuksen esittelemisestä tieteellisissä tapahtumissa, tieteellisestä julkaisemisesta (ei tarkoiteta artikkeliväitöskirjaan tulevien artikkeleiden julkaisemista) ja jatko-opintotasoiseen koulutukseen osallistumisesta, esim. aktiivinen osallistuminen tutkijaseminaareihin (ent. 5 op), opintojen ja tutkimuksen edistäminen. Kansainväliseen seminaariin osallistuminen, raportti tai päiväkirja kansainväliseen liikkuvuuteen liittyen</w:t>
      </w:r>
      <w:r w:rsidR="00086EC4">
        <w:rPr>
          <w:rFonts w:eastAsiaTheme="minorHAnsi"/>
          <w:lang w:eastAsia="en-US"/>
        </w:rPr>
        <w:t>.</w:t>
      </w:r>
    </w:p>
    <w:p w14:paraId="0FE0D041" w14:textId="4AF136B4" w:rsidR="00E16BC6" w:rsidRPr="00E16BC6" w:rsidRDefault="002B4A93" w:rsidP="00E16BC6">
      <w:pPr>
        <w:rPr>
          <w:rFonts w:eastAsiaTheme="minorHAnsi"/>
          <w:lang w:eastAsia="en-US"/>
        </w:rPr>
      </w:pPr>
      <w:r>
        <w:rPr>
          <w:rFonts w:eastAsiaTheme="minorHAnsi"/>
          <w:lang w:eastAsia="en-US"/>
        </w:rPr>
        <w:lastRenderedPageBreak/>
        <w:br/>
      </w:r>
      <w:r w:rsidR="00E16BC6" w:rsidRPr="001634DB">
        <w:rPr>
          <w:rFonts w:eastAsiaTheme="minorHAnsi"/>
          <w:b/>
          <w:bCs/>
          <w:lang w:eastAsia="en-US"/>
        </w:rPr>
        <w:t>Arviointi</w:t>
      </w:r>
      <w:r w:rsidR="00E16BC6" w:rsidRPr="00E16BC6">
        <w:rPr>
          <w:rFonts w:eastAsiaTheme="minorHAnsi"/>
          <w:lang w:eastAsia="en-US"/>
        </w:rPr>
        <w:t>: Hyväksytty</w:t>
      </w:r>
      <w:r w:rsidR="00086EC4" w:rsidRPr="001634DB">
        <w:t>–</w:t>
      </w:r>
      <w:r w:rsidR="00E16BC6" w:rsidRPr="00E16BC6">
        <w:rPr>
          <w:rFonts w:eastAsiaTheme="minorHAnsi"/>
          <w:lang w:eastAsia="en-US"/>
        </w:rPr>
        <w:t>hylätty</w:t>
      </w:r>
    </w:p>
    <w:p w14:paraId="3EA2123F" w14:textId="77777777" w:rsidR="00E16BC6" w:rsidRPr="00E16BC6" w:rsidRDefault="00E16BC6" w:rsidP="00E16BC6">
      <w:pPr>
        <w:rPr>
          <w:rFonts w:eastAsiaTheme="minorHAnsi"/>
          <w:lang w:eastAsia="en-US"/>
        </w:rPr>
      </w:pPr>
    </w:p>
    <w:p w14:paraId="6AA2E369" w14:textId="77777777" w:rsidR="00E16BC6" w:rsidRPr="00E16BC6" w:rsidRDefault="00E16BC6" w:rsidP="00E16BC6">
      <w:pPr>
        <w:rPr>
          <w:rFonts w:eastAsiaTheme="minorHAnsi"/>
          <w:lang w:eastAsia="en-US"/>
        </w:rPr>
      </w:pPr>
      <w:r w:rsidRPr="001634DB">
        <w:rPr>
          <w:rFonts w:eastAsiaTheme="minorHAnsi"/>
          <w:b/>
          <w:bCs/>
          <w:lang w:eastAsia="en-US"/>
        </w:rPr>
        <w:t>Arviointiperusteet</w:t>
      </w:r>
      <w:r w:rsidRPr="00E16BC6">
        <w:rPr>
          <w:rFonts w:eastAsiaTheme="minorHAnsi"/>
          <w:lang w:eastAsia="en-US"/>
        </w:rPr>
        <w:t>: Sovitaan opintosuorituksittain.</w:t>
      </w:r>
    </w:p>
    <w:p w14:paraId="357B640B" w14:textId="77777777" w:rsidR="00CA63FB" w:rsidRDefault="00CA63FB" w:rsidP="00E16BC6">
      <w:pPr>
        <w:rPr>
          <w:rFonts w:eastAsiaTheme="minorHAnsi"/>
          <w:lang w:eastAsia="en-US"/>
        </w:rPr>
      </w:pPr>
    </w:p>
    <w:p w14:paraId="0D69F77C" w14:textId="2BCEBED3" w:rsidR="00E16BC6" w:rsidRPr="00E16BC6" w:rsidRDefault="00E16BC6" w:rsidP="00E16BC6">
      <w:pPr>
        <w:rPr>
          <w:rFonts w:eastAsiaTheme="minorHAnsi"/>
          <w:lang w:eastAsia="en-US"/>
        </w:rPr>
      </w:pPr>
      <w:r w:rsidRPr="00E16BC6">
        <w:rPr>
          <w:rFonts w:eastAsiaTheme="minorHAnsi"/>
          <w:lang w:eastAsia="en-US"/>
        </w:rPr>
        <w:t>Esimerkkejä opintosuoritusten mitoitukseksi</w:t>
      </w:r>
    </w:p>
    <w:p w14:paraId="35481AFA" w14:textId="0B8371CA" w:rsidR="00E16BC6" w:rsidRPr="00E16BC6" w:rsidRDefault="00E16BC6" w:rsidP="00E16BC6">
      <w:pPr>
        <w:rPr>
          <w:rFonts w:eastAsiaTheme="minorHAnsi"/>
          <w:lang w:eastAsia="en-US"/>
        </w:rPr>
      </w:pPr>
      <w:r w:rsidRPr="00E16BC6">
        <w:rPr>
          <w:rFonts w:eastAsiaTheme="minorHAnsi"/>
          <w:lang w:eastAsia="en-US"/>
        </w:rPr>
        <w:t xml:space="preserve">• 2 op - Tieteellinen konferenssiesitys: ulkomaisessa konferenssissa oma </w:t>
      </w:r>
      <w:proofErr w:type="spellStart"/>
      <w:r w:rsidRPr="00E16BC6">
        <w:rPr>
          <w:rFonts w:eastAsiaTheme="minorHAnsi"/>
          <w:lang w:eastAsia="en-US"/>
        </w:rPr>
        <w:t>paper</w:t>
      </w:r>
      <w:proofErr w:type="spellEnd"/>
      <w:r w:rsidRPr="00E16BC6">
        <w:rPr>
          <w:rFonts w:eastAsiaTheme="minorHAnsi"/>
          <w:lang w:eastAsia="en-US"/>
        </w:rPr>
        <w:t>-esitys (vahva oma kontribuutio, hyväksymiskäytäntö abstraktien kautta, sisältää uutta tietoa; 1 op tieteellinen esitys kotimaisessa konferenssissa</w:t>
      </w:r>
    </w:p>
    <w:p w14:paraId="2A3FB4E0" w14:textId="77777777" w:rsidR="00E16BC6" w:rsidRPr="00E16BC6" w:rsidRDefault="00E16BC6" w:rsidP="00E16BC6">
      <w:pPr>
        <w:rPr>
          <w:rFonts w:eastAsiaTheme="minorHAnsi"/>
          <w:lang w:eastAsia="en-US"/>
        </w:rPr>
      </w:pPr>
      <w:r w:rsidRPr="00E16BC6">
        <w:rPr>
          <w:rFonts w:eastAsiaTheme="minorHAnsi"/>
          <w:lang w:eastAsia="en-US"/>
        </w:rPr>
        <w:t>• 0.5 op - osallistuminen tieteelliseen konferenssiin ilman omaa esitystä, suorituksena oppimispäiväkirja ohjaajalle</w:t>
      </w:r>
    </w:p>
    <w:p w14:paraId="690AB6DC" w14:textId="77777777" w:rsidR="00E16BC6" w:rsidRPr="00E16BC6" w:rsidRDefault="00E16BC6" w:rsidP="00E16BC6">
      <w:pPr>
        <w:rPr>
          <w:rFonts w:eastAsiaTheme="minorHAnsi"/>
          <w:lang w:eastAsia="en-US"/>
        </w:rPr>
      </w:pPr>
      <w:r w:rsidRPr="00E16BC6">
        <w:rPr>
          <w:rFonts w:eastAsiaTheme="minorHAnsi"/>
          <w:lang w:eastAsia="en-US"/>
        </w:rPr>
        <w:t>• 0.5 /1 op - puheenjohtajuus / koordinaatiovastuu kansallisen / kansainvälisen konferenssin symposiumissa / seminaarissa</w:t>
      </w:r>
    </w:p>
    <w:p w14:paraId="5B160CAF" w14:textId="77777777" w:rsidR="00E16BC6" w:rsidRPr="00E16BC6" w:rsidRDefault="00E16BC6" w:rsidP="00E16BC6">
      <w:pPr>
        <w:rPr>
          <w:rFonts w:eastAsiaTheme="minorHAnsi"/>
          <w:lang w:eastAsia="en-US"/>
        </w:rPr>
      </w:pPr>
      <w:r w:rsidRPr="00E16BC6">
        <w:rPr>
          <w:rFonts w:eastAsiaTheme="minorHAnsi"/>
          <w:lang w:eastAsia="en-US"/>
        </w:rPr>
        <w:t xml:space="preserve">• 0.5 op (näitä 4 maksimissaan) - Tieteellisiä esityksiä samasta aihepiiristä seminaareissa, jotka suunnattu ulkopuoliselle yleisölle (ei oman seminaariryhmän tai yhteisseminaarien esitykset) </w:t>
      </w:r>
    </w:p>
    <w:p w14:paraId="77F16B97" w14:textId="53B5D5F7" w:rsidR="00E16BC6" w:rsidRPr="00E16BC6" w:rsidRDefault="00E16BC6" w:rsidP="00E16BC6">
      <w:pPr>
        <w:rPr>
          <w:rFonts w:eastAsiaTheme="minorHAnsi"/>
          <w:lang w:eastAsia="en-US"/>
        </w:rPr>
      </w:pPr>
      <w:r w:rsidRPr="00E16BC6">
        <w:rPr>
          <w:rFonts w:eastAsiaTheme="minorHAnsi"/>
          <w:lang w:eastAsia="en-US"/>
        </w:rPr>
        <w:t xml:space="preserve">• 1 op - </w:t>
      </w:r>
      <w:proofErr w:type="spellStart"/>
      <w:r w:rsidRPr="00E16BC6">
        <w:rPr>
          <w:rFonts w:eastAsiaTheme="minorHAnsi"/>
          <w:lang w:eastAsia="en-US"/>
        </w:rPr>
        <w:t>Poster</w:t>
      </w:r>
      <w:proofErr w:type="spellEnd"/>
      <w:r w:rsidRPr="00E16BC6">
        <w:rPr>
          <w:rFonts w:eastAsiaTheme="minorHAnsi"/>
          <w:lang w:eastAsia="en-US"/>
        </w:rPr>
        <w:t xml:space="preserve">, muu kuin suomenkielinen; 0.5 op - </w:t>
      </w:r>
      <w:proofErr w:type="spellStart"/>
      <w:r w:rsidRPr="00E16BC6">
        <w:rPr>
          <w:rFonts w:eastAsiaTheme="minorHAnsi"/>
          <w:lang w:eastAsia="en-US"/>
        </w:rPr>
        <w:t>Poster</w:t>
      </w:r>
      <w:proofErr w:type="spellEnd"/>
      <w:r w:rsidRPr="00E16BC6">
        <w:rPr>
          <w:rFonts w:eastAsiaTheme="minorHAnsi"/>
          <w:lang w:eastAsia="en-US"/>
        </w:rPr>
        <w:t>, suomenkielinen</w:t>
      </w:r>
    </w:p>
    <w:p w14:paraId="03B96DC7" w14:textId="77777777" w:rsidR="00E16BC6" w:rsidRPr="00E16BC6" w:rsidRDefault="00E16BC6" w:rsidP="00E16BC6">
      <w:pPr>
        <w:rPr>
          <w:rFonts w:eastAsiaTheme="minorHAnsi"/>
          <w:lang w:eastAsia="en-US"/>
        </w:rPr>
      </w:pPr>
      <w:r w:rsidRPr="00E16BC6">
        <w:rPr>
          <w:rFonts w:eastAsiaTheme="minorHAnsi"/>
          <w:lang w:eastAsia="en-US"/>
        </w:rPr>
        <w:t xml:space="preserve">• 1 op-1.5 op - Ensimmäisenä kirjoittajana väitöskirjan ulkopuolelle jäävässä proceedings -artikkelissa, joka perustuu kongressissa esitettyyn paperiin. Mitoitus riippuen artikkelin kielestä ja haastavuudesta; 0.5 op - Mukana kirjoittajana proceedings-artikkelissa </w:t>
      </w:r>
    </w:p>
    <w:p w14:paraId="17D495AD" w14:textId="77777777" w:rsidR="00E16BC6" w:rsidRPr="00E16BC6" w:rsidRDefault="00E16BC6" w:rsidP="00523BC3">
      <w:pPr>
        <w:rPr>
          <w:b/>
          <w:sz w:val="28"/>
          <w:szCs w:val="28"/>
        </w:rPr>
      </w:pPr>
    </w:p>
    <w:p w14:paraId="1AC10D38" w14:textId="71B87036" w:rsidR="00523BC3" w:rsidRPr="00E16BC6" w:rsidRDefault="00C67641" w:rsidP="00E16BC6">
      <w:pPr>
        <w:pStyle w:val="ListParagraph"/>
        <w:numPr>
          <w:ilvl w:val="1"/>
          <w:numId w:val="10"/>
        </w:numPr>
        <w:ind w:left="284"/>
        <w:rPr>
          <w:b/>
          <w:sz w:val="28"/>
          <w:szCs w:val="28"/>
        </w:rPr>
      </w:pPr>
      <w:r w:rsidRPr="00E16BC6">
        <w:rPr>
          <w:b/>
          <w:sz w:val="28"/>
          <w:szCs w:val="28"/>
        </w:rPr>
        <w:t>PSYJ1300</w:t>
      </w:r>
      <w:r w:rsidR="00523BC3" w:rsidRPr="00E16BC6">
        <w:rPr>
          <w:b/>
          <w:sz w:val="28"/>
          <w:szCs w:val="28"/>
        </w:rPr>
        <w:t xml:space="preserve"> Tutkimusosaaminen </w:t>
      </w:r>
    </w:p>
    <w:p w14:paraId="7B24D610" w14:textId="3934D7E0" w:rsidR="00523BC3" w:rsidRPr="00E16BC6" w:rsidRDefault="00CA63FB" w:rsidP="00523BC3">
      <w:r>
        <w:rPr>
          <w:b/>
          <w:bCs/>
        </w:rPr>
        <w:br/>
      </w:r>
      <w:r w:rsidR="00523BC3" w:rsidRPr="001634DB">
        <w:rPr>
          <w:b/>
          <w:bCs/>
        </w:rPr>
        <w:t>Laajuus</w:t>
      </w:r>
      <w:r w:rsidR="00523BC3" w:rsidRPr="00E16BC6">
        <w:t>: 10</w:t>
      </w:r>
      <w:r w:rsidR="00086EC4" w:rsidRPr="001634DB">
        <w:t>–</w:t>
      </w:r>
      <w:r w:rsidR="00523BC3" w:rsidRPr="00E16BC6">
        <w:t>13 op</w:t>
      </w:r>
    </w:p>
    <w:p w14:paraId="4F3510E8" w14:textId="4717E066" w:rsidR="00523BC3" w:rsidRPr="00E16BC6" w:rsidRDefault="00CA63FB" w:rsidP="00523BC3">
      <w:r>
        <w:rPr>
          <w:b/>
          <w:bCs/>
        </w:rPr>
        <w:br/>
      </w:r>
      <w:r w:rsidR="00523BC3" w:rsidRPr="001634DB">
        <w:rPr>
          <w:b/>
          <w:bCs/>
        </w:rPr>
        <w:t>Osaamistavoitteet</w:t>
      </w:r>
      <w:r w:rsidR="00523BC3" w:rsidRPr="00E16BC6">
        <w:t>: Opintojakson suoritettuaan opiskelija</w:t>
      </w:r>
    </w:p>
    <w:p w14:paraId="41D6801A" w14:textId="77777777" w:rsidR="00523BC3" w:rsidRPr="00E16BC6" w:rsidRDefault="00523BC3" w:rsidP="00523BC3">
      <w:r w:rsidRPr="00E16BC6">
        <w:t>• tuntee hyvään tieteelliseen käytäntöön liittyvät eettiset ohjeet ja menettelytavat ja kykenee tunnistamaan sekä analysoimaan tutkimuksen eri alueille ja vaiheisiin liittyviä eettisiä ongelmia (pakollinen sisältö)</w:t>
      </w:r>
    </w:p>
    <w:p w14:paraId="5CFD4DE5" w14:textId="77777777" w:rsidR="00523BC3" w:rsidRPr="00E16BC6" w:rsidRDefault="00523BC3" w:rsidP="00523BC3">
      <w:r w:rsidRPr="00E16BC6">
        <w:t>• ymmärtää tieteellisen teorian muodostuksen yleisiä lähtökohtia (pakollinen sisältö)</w:t>
      </w:r>
    </w:p>
    <w:p w14:paraId="7CA22BF8" w14:textId="0F2A32DC" w:rsidR="00523BC3" w:rsidRPr="00E16BC6" w:rsidRDefault="00AF48FC" w:rsidP="00523BC3">
      <w:r w:rsidRPr="00E16BC6">
        <w:t>• y</w:t>
      </w:r>
      <w:r w:rsidR="00523BC3" w:rsidRPr="00E16BC6">
        <w:t>mmärtää oman alansa tieteellisen luonteen ja tuntee sen tieteenhistoriallisen kehityksen</w:t>
      </w:r>
    </w:p>
    <w:p w14:paraId="747DCADE" w14:textId="77777777" w:rsidR="00523BC3" w:rsidRPr="00E16BC6" w:rsidRDefault="00523BC3" w:rsidP="00523BC3">
      <w:r w:rsidRPr="00E16BC6">
        <w:t xml:space="preserve">• hallitsee oman alansa metodologiaa ja omaa joidenkin kvantitatiivisten tai kvalitatiivisten (Kasvatustieteet: historiallisten tai teoreettisten menetelmien) menetelmien erityisosaamista  </w:t>
      </w:r>
    </w:p>
    <w:p w14:paraId="18DC9791" w14:textId="154C42A9" w:rsidR="00523BC3" w:rsidRPr="00E16BC6" w:rsidRDefault="00AF48FC" w:rsidP="00523BC3">
      <w:r w:rsidRPr="00E16BC6">
        <w:t xml:space="preserve">• </w:t>
      </w:r>
      <w:r w:rsidR="00523BC3" w:rsidRPr="00E16BC6">
        <w:t>tutkimushankkeen</w:t>
      </w:r>
      <w:r w:rsidR="00300518" w:rsidRPr="00E16BC6">
        <w:t xml:space="preserve"> </w:t>
      </w:r>
      <w:r w:rsidR="00523BC3" w:rsidRPr="00E16BC6">
        <w:t xml:space="preserve">hallinta; tieteellinen julkaiseminen; avoin tiede (kaikille pakollinen sisältö </w:t>
      </w:r>
      <w:proofErr w:type="spellStart"/>
      <w:r w:rsidR="00523BC3" w:rsidRPr="00E16BC6">
        <w:t>väh</w:t>
      </w:r>
      <w:proofErr w:type="spellEnd"/>
      <w:r w:rsidR="00523BC3" w:rsidRPr="00E16BC6">
        <w:t xml:space="preserve"> 1 op)</w:t>
      </w:r>
    </w:p>
    <w:p w14:paraId="20CEFE37" w14:textId="7A088C7B" w:rsidR="00523BC3" w:rsidRPr="00E16BC6" w:rsidRDefault="00CA63FB" w:rsidP="00523BC3">
      <w:r>
        <w:rPr>
          <w:b/>
          <w:bCs/>
        </w:rPr>
        <w:br/>
      </w:r>
      <w:r w:rsidR="00523BC3" w:rsidRPr="001634DB">
        <w:rPr>
          <w:b/>
          <w:bCs/>
        </w:rPr>
        <w:t>Sisältö</w:t>
      </w:r>
      <w:r w:rsidR="00523BC3" w:rsidRPr="00E16BC6">
        <w:t xml:space="preserve">: </w:t>
      </w:r>
    </w:p>
    <w:p w14:paraId="3FFB4E62" w14:textId="5E5ACA11" w:rsidR="00523BC3" w:rsidRPr="00E16BC6" w:rsidRDefault="002D3B3C" w:rsidP="00523BC3">
      <w:r w:rsidRPr="00E16BC6">
        <w:t>Opinnot koostuvat pakollisista</w:t>
      </w:r>
      <w:r w:rsidR="00523BC3" w:rsidRPr="00E16BC6">
        <w:t xml:space="preserve"> tieteellisen tutkimuksen etiikan (3 op), tieteenfilosofian/tieteenteorian (</w:t>
      </w:r>
      <w:r w:rsidR="00250E3F" w:rsidRPr="00E16BC6">
        <w:t xml:space="preserve">3 </w:t>
      </w:r>
      <w:r w:rsidR="00523BC3" w:rsidRPr="00E16BC6">
        <w:t xml:space="preserve">op), </w:t>
      </w:r>
      <w:r w:rsidRPr="00E16BC6">
        <w:t xml:space="preserve">ja </w:t>
      </w:r>
      <w:r w:rsidR="00523BC3" w:rsidRPr="00E16BC6">
        <w:t>avoimen tieteen</w:t>
      </w:r>
      <w:r w:rsidRPr="00E16BC6">
        <w:t xml:space="preserve"> (1 op)</w:t>
      </w:r>
      <w:r w:rsidR="00042341" w:rsidRPr="00E16BC6">
        <w:t xml:space="preserve"> (esim.</w:t>
      </w:r>
      <w:r w:rsidRPr="00E16BC6">
        <w:t xml:space="preserve"> LIBJ1001 Open Science Resource)</w:t>
      </w:r>
      <w:r w:rsidR="00523BC3" w:rsidRPr="00E16BC6">
        <w:t xml:space="preserve"> </w:t>
      </w:r>
      <w:r w:rsidRPr="00E16BC6">
        <w:t xml:space="preserve">opinnoista </w:t>
      </w:r>
      <w:r w:rsidR="00523BC3" w:rsidRPr="00E16BC6">
        <w:t>sekä valinnaisista kvalitatiivisen, kvantitatiivisten tai monimenetelmäisten (</w:t>
      </w:r>
      <w:proofErr w:type="spellStart"/>
      <w:r w:rsidR="00523BC3" w:rsidRPr="00E16BC6">
        <w:t>mixed</w:t>
      </w:r>
      <w:proofErr w:type="spellEnd"/>
      <w:r w:rsidR="00523BC3" w:rsidRPr="00E16BC6">
        <w:t xml:space="preserve"> </w:t>
      </w:r>
      <w:proofErr w:type="spellStart"/>
      <w:r w:rsidR="00523BC3" w:rsidRPr="00E16BC6">
        <w:t>methods</w:t>
      </w:r>
      <w:proofErr w:type="spellEnd"/>
      <w:r w:rsidR="00523BC3" w:rsidRPr="00E16BC6">
        <w:t xml:space="preserve">) tutkimusmenetelmien opintojaksoista. Opintokokonaisuus voi sisältää myös opiskelijan itse suunnittelemia opintojaksoja, jotka ohjaaja hyväksyy HOPS-keskusteluissa. </w:t>
      </w:r>
    </w:p>
    <w:p w14:paraId="26FAED9B" w14:textId="3B4A786E" w:rsidR="00523BC3" w:rsidRPr="00E16BC6" w:rsidRDefault="00523BC3" w:rsidP="00523BC3">
      <w:r w:rsidRPr="00E16BC6">
        <w:t>Suoritustavat: kurssit (esim.</w:t>
      </w:r>
      <w:r w:rsidR="00086EC4">
        <w:t xml:space="preserve"> </w:t>
      </w:r>
      <w:r w:rsidR="00D17F44" w:rsidRPr="00E16BC6">
        <w:t>IHME</w:t>
      </w:r>
      <w:r w:rsidRPr="00E16BC6">
        <w:t>), itsenäinen opiskelu (esseet, oppimispäiväkirjat, harjoitustyöt), seminaarit, tieteelliset julkaisut, kongressiesitelmät ja -posterit, tieteelliset asiantuntijatehtävät, projektityöskentely ja ohjaus</w:t>
      </w:r>
    </w:p>
    <w:p w14:paraId="037A0B49" w14:textId="5BDB6D2D" w:rsidR="00523BC3" w:rsidRPr="00E16BC6" w:rsidRDefault="00CA63FB" w:rsidP="00523BC3">
      <w:r>
        <w:rPr>
          <w:b/>
          <w:bCs/>
        </w:rPr>
        <w:br/>
      </w:r>
      <w:r w:rsidR="00523BC3" w:rsidRPr="001634DB">
        <w:rPr>
          <w:b/>
          <w:bCs/>
        </w:rPr>
        <w:t>Arviointi</w:t>
      </w:r>
      <w:r w:rsidR="00523BC3" w:rsidRPr="00E16BC6">
        <w:t>: hyväksytty</w:t>
      </w:r>
      <w:r w:rsidR="00086EC4" w:rsidRPr="001634DB">
        <w:t>–</w:t>
      </w:r>
      <w:r w:rsidR="00523BC3" w:rsidRPr="00E16BC6">
        <w:t>hylätty</w:t>
      </w:r>
    </w:p>
    <w:p w14:paraId="7C0F96EE" w14:textId="343655D5" w:rsidR="00523BC3" w:rsidRDefault="00CA63FB" w:rsidP="00523BC3">
      <w:r>
        <w:rPr>
          <w:b/>
          <w:bCs/>
        </w:rPr>
        <w:br/>
      </w:r>
      <w:r w:rsidR="00E46678" w:rsidRPr="001634DB">
        <w:rPr>
          <w:b/>
          <w:bCs/>
        </w:rPr>
        <w:t>Arviointiperusteet</w:t>
      </w:r>
      <w:r w:rsidR="00523BC3" w:rsidRPr="00E16BC6">
        <w:t>: Sovitaan opintosuorituksittain</w:t>
      </w:r>
    </w:p>
    <w:p w14:paraId="4B963FA5" w14:textId="77777777" w:rsidR="003E5208" w:rsidRPr="00E16BC6" w:rsidRDefault="003E5208" w:rsidP="00523BC3"/>
    <w:p w14:paraId="4B21DB3F" w14:textId="77777777" w:rsidR="00EB2F34" w:rsidRPr="00E16BC6" w:rsidRDefault="00EB2F34" w:rsidP="00EB2F34">
      <w:pPr>
        <w:pStyle w:val="ListParagraph"/>
        <w:numPr>
          <w:ilvl w:val="1"/>
          <w:numId w:val="10"/>
        </w:numPr>
        <w:ind w:left="284"/>
        <w:rPr>
          <w:b/>
          <w:sz w:val="28"/>
          <w:szCs w:val="28"/>
        </w:rPr>
      </w:pPr>
      <w:r w:rsidRPr="00E16BC6">
        <w:rPr>
          <w:b/>
          <w:sz w:val="28"/>
          <w:szCs w:val="28"/>
        </w:rPr>
        <w:t xml:space="preserve">PSYJ1400 Muu asiantuntijaosaaminen  </w:t>
      </w:r>
    </w:p>
    <w:p w14:paraId="6CE4EAA8" w14:textId="5E14816B" w:rsidR="00EB2F34" w:rsidRPr="00E16BC6" w:rsidRDefault="00EB2F34" w:rsidP="00EB2F34">
      <w:r>
        <w:rPr>
          <w:b/>
          <w:bCs/>
        </w:rPr>
        <w:br/>
      </w:r>
      <w:r w:rsidRPr="001634DB">
        <w:rPr>
          <w:b/>
          <w:bCs/>
        </w:rPr>
        <w:t>Laajuus</w:t>
      </w:r>
      <w:r w:rsidRPr="00E16BC6">
        <w:t>: 5</w:t>
      </w:r>
      <w:r w:rsidR="003E5208">
        <w:t xml:space="preserve"> </w:t>
      </w:r>
      <w:r w:rsidRPr="00E16BC6">
        <w:t>op</w:t>
      </w:r>
    </w:p>
    <w:p w14:paraId="250B2904" w14:textId="77777777" w:rsidR="00EB2F34" w:rsidRPr="00E16BC6" w:rsidRDefault="00EB2F34" w:rsidP="00EB2F34">
      <w:r>
        <w:rPr>
          <w:b/>
          <w:bCs/>
        </w:rPr>
        <w:lastRenderedPageBreak/>
        <w:br/>
      </w:r>
      <w:r w:rsidRPr="001634DB">
        <w:rPr>
          <w:b/>
          <w:bCs/>
        </w:rPr>
        <w:t>Osaamistavoitteet</w:t>
      </w:r>
      <w:r w:rsidRPr="00E16BC6">
        <w:t>:</w:t>
      </w:r>
    </w:p>
    <w:p w14:paraId="38314D34" w14:textId="77777777" w:rsidR="00EB2F34" w:rsidRPr="00E16BC6" w:rsidRDefault="00EB2F34" w:rsidP="00EB2F34">
      <w:r w:rsidRPr="00E16BC6">
        <w:t xml:space="preserve">• kykenee toimimaan oman tutkimusaiheensa asiantuntijana tieteellisissä suunnittelu-, opetus- ja kehittämistehtävissä </w:t>
      </w:r>
    </w:p>
    <w:p w14:paraId="566B9A0F" w14:textId="77777777" w:rsidR="00EB2F34" w:rsidRPr="00E16BC6" w:rsidRDefault="00EB2F34" w:rsidP="00EB2F34">
      <w:r w:rsidRPr="00E16BC6">
        <w:t>• kykenee tiedeperustaiseen pedagogiseen toimintaan, omaa korkeakoulupedagogista osaamista</w:t>
      </w:r>
    </w:p>
    <w:p w14:paraId="790206F0" w14:textId="77777777" w:rsidR="00EB2F34" w:rsidRPr="00E16BC6" w:rsidRDefault="00EB2F34" w:rsidP="00EB2F34">
      <w:r w:rsidRPr="00E16BC6">
        <w:t xml:space="preserve">• omaa opintojen aikana kartutettuja tai päivitettyjä työelämävalmiuksia (mm. projektinhallintaosaamista, johtamis- ja alaistaitoja, vuorovaikutustaitoja sekä tieto- ja viestintäteknologiataitoja) </w:t>
      </w:r>
    </w:p>
    <w:p w14:paraId="5DD12F0E" w14:textId="77777777" w:rsidR="00EB2F34" w:rsidRPr="001634DB" w:rsidRDefault="00EB2F34" w:rsidP="00EB2F34">
      <w:pPr>
        <w:rPr>
          <w:b/>
          <w:bCs/>
        </w:rPr>
      </w:pPr>
      <w:r>
        <w:rPr>
          <w:b/>
          <w:bCs/>
        </w:rPr>
        <w:br/>
      </w:r>
      <w:r w:rsidRPr="001634DB">
        <w:rPr>
          <w:b/>
          <w:bCs/>
        </w:rPr>
        <w:t>Sisältö</w:t>
      </w:r>
    </w:p>
    <w:p w14:paraId="3D070E51" w14:textId="77777777" w:rsidR="00EB2F34" w:rsidRPr="00E16BC6" w:rsidRDefault="00EB2F34" w:rsidP="00EB2F34">
      <w:pPr>
        <w:rPr>
          <w:rFonts w:eastAsiaTheme="minorHAnsi"/>
          <w:lang w:eastAsia="en-US"/>
        </w:rPr>
      </w:pPr>
      <w:r w:rsidRPr="00E16BC6">
        <w:rPr>
          <w:rFonts w:eastAsiaTheme="minorHAnsi"/>
          <w:lang w:eastAsia="en-US"/>
        </w:rPr>
        <w:t>• Pedagogiset taidot, johtajuusosaaminen, yrittäjyysosaaminen, laatu- tai kehittämistyö, työelämätietous</w:t>
      </w:r>
    </w:p>
    <w:p w14:paraId="52BD1849" w14:textId="77777777" w:rsidR="00EB2F34" w:rsidRPr="00E16BC6" w:rsidRDefault="00EB2F34" w:rsidP="00EB2F34">
      <w:pPr>
        <w:rPr>
          <w:rFonts w:eastAsiaTheme="minorHAnsi"/>
          <w:lang w:eastAsia="en-US"/>
        </w:rPr>
      </w:pPr>
      <w:r>
        <w:rPr>
          <w:rFonts w:eastAsiaTheme="minorHAnsi"/>
          <w:b/>
          <w:bCs/>
          <w:lang w:eastAsia="en-US"/>
        </w:rPr>
        <w:br/>
      </w:r>
      <w:r w:rsidRPr="001634DB">
        <w:rPr>
          <w:rFonts w:eastAsiaTheme="minorHAnsi"/>
          <w:b/>
          <w:bCs/>
          <w:lang w:eastAsia="en-US"/>
        </w:rPr>
        <w:t>Suoritustavat</w:t>
      </w:r>
      <w:r w:rsidRPr="00E16BC6">
        <w:rPr>
          <w:rFonts w:eastAsiaTheme="minorHAnsi"/>
          <w:lang w:eastAsia="en-US"/>
        </w:rPr>
        <w:t xml:space="preserve">: </w:t>
      </w:r>
    </w:p>
    <w:p w14:paraId="3B5980B6" w14:textId="77777777" w:rsidR="00EB2F34" w:rsidRPr="00E16BC6" w:rsidRDefault="00EB2F34" w:rsidP="00EB2F34">
      <w:pPr>
        <w:rPr>
          <w:rFonts w:eastAsiaTheme="minorHAnsi"/>
          <w:lang w:eastAsia="en-US"/>
        </w:rPr>
      </w:pPr>
      <w:r w:rsidRPr="00E16BC6">
        <w:rPr>
          <w:rFonts w:eastAsiaTheme="minorHAnsi"/>
          <w:lang w:eastAsia="en-US"/>
        </w:rPr>
        <w:t xml:space="preserve">• Asiantuntijatehtävät: omaan tutkimukseen perustuva suunnittelu-, opetus- ja kehittämistyö laitoksilla ja projekteissa. </w:t>
      </w:r>
    </w:p>
    <w:p w14:paraId="73AB97F0" w14:textId="77777777" w:rsidR="00EB2F34" w:rsidRPr="00E16BC6" w:rsidRDefault="00EB2F34" w:rsidP="00EB2F34">
      <w:pPr>
        <w:rPr>
          <w:rFonts w:eastAsiaTheme="minorHAnsi"/>
          <w:lang w:eastAsia="en-US"/>
        </w:rPr>
      </w:pPr>
      <w:r w:rsidRPr="00E16BC6">
        <w:rPr>
          <w:rFonts w:eastAsiaTheme="minorHAnsi"/>
          <w:lang w:eastAsia="en-US"/>
        </w:rPr>
        <w:t>• Yhteiskunnalliset palvelutehtävät: omaan tutkimukseen perustuva yhteiskunnallisesti merkittävä kehittämistyö ja/tai soveltuvat yliopistotasoiset pedagogiset opinnot</w:t>
      </w:r>
    </w:p>
    <w:p w14:paraId="18F0B984" w14:textId="77777777" w:rsidR="00EB2F34" w:rsidRPr="00E16BC6" w:rsidRDefault="00EB2F34" w:rsidP="00EB2F34">
      <w:pPr>
        <w:rPr>
          <w:rFonts w:eastAsiaTheme="minorHAnsi"/>
          <w:lang w:eastAsia="en-US"/>
        </w:rPr>
      </w:pPr>
      <w:r w:rsidRPr="00E16BC6">
        <w:rPr>
          <w:rFonts w:eastAsiaTheme="minorHAnsi"/>
          <w:lang w:eastAsia="en-US"/>
        </w:rPr>
        <w:t xml:space="preserve">• Asiantuntijuutta ja </w:t>
      </w:r>
      <w:proofErr w:type="spellStart"/>
      <w:r w:rsidRPr="00E16BC6">
        <w:rPr>
          <w:rFonts w:eastAsiaTheme="minorHAnsi"/>
          <w:lang w:eastAsia="en-US"/>
        </w:rPr>
        <w:t>tutkijuuden</w:t>
      </w:r>
      <w:proofErr w:type="spellEnd"/>
      <w:r w:rsidRPr="00E16BC6">
        <w:rPr>
          <w:rFonts w:eastAsiaTheme="minorHAnsi"/>
          <w:lang w:eastAsia="en-US"/>
        </w:rPr>
        <w:t xml:space="preserve"> kehitystä tukevia koulutuksia, tilaisuuksia ja vierailuluentoja, joista kooten voidaan ohjaajan kanssa neuvotella suoritus. </w:t>
      </w:r>
    </w:p>
    <w:p w14:paraId="6609C302" w14:textId="77777777" w:rsidR="00EB2F34" w:rsidRPr="00E16BC6" w:rsidRDefault="00EB2F34" w:rsidP="00EB2F34">
      <w:pPr>
        <w:rPr>
          <w:rFonts w:eastAsiaTheme="minorHAnsi"/>
          <w:lang w:eastAsia="en-US"/>
        </w:rPr>
      </w:pPr>
      <w:r>
        <w:rPr>
          <w:rFonts w:eastAsiaTheme="minorHAnsi"/>
          <w:b/>
          <w:bCs/>
          <w:lang w:eastAsia="en-US"/>
        </w:rPr>
        <w:br/>
      </w:r>
      <w:r w:rsidRPr="001634DB">
        <w:rPr>
          <w:rFonts w:eastAsiaTheme="minorHAnsi"/>
          <w:b/>
          <w:bCs/>
          <w:lang w:eastAsia="en-US"/>
        </w:rPr>
        <w:t>Arviointi</w:t>
      </w:r>
      <w:r w:rsidRPr="00E16BC6">
        <w:rPr>
          <w:rFonts w:eastAsiaTheme="minorHAnsi"/>
          <w:lang w:eastAsia="en-US"/>
        </w:rPr>
        <w:t>: Hyväksytty-hylätty</w:t>
      </w:r>
    </w:p>
    <w:p w14:paraId="1F8B1D90" w14:textId="77777777" w:rsidR="00EB2F34" w:rsidRDefault="00EB2F34" w:rsidP="00EB2F34">
      <w:pPr>
        <w:rPr>
          <w:rFonts w:eastAsiaTheme="minorHAnsi"/>
          <w:b/>
          <w:bCs/>
          <w:lang w:eastAsia="en-US"/>
        </w:rPr>
      </w:pPr>
    </w:p>
    <w:p w14:paraId="36F9DE20" w14:textId="77777777" w:rsidR="00EB2F34" w:rsidRPr="00E16BC6" w:rsidRDefault="00EB2F34" w:rsidP="00EB2F34">
      <w:pPr>
        <w:rPr>
          <w:rFonts w:eastAsiaTheme="minorHAnsi"/>
          <w:lang w:eastAsia="en-US"/>
        </w:rPr>
      </w:pPr>
      <w:r w:rsidRPr="001634DB">
        <w:rPr>
          <w:rFonts w:eastAsiaTheme="minorHAnsi"/>
          <w:b/>
          <w:bCs/>
          <w:lang w:eastAsia="en-US"/>
        </w:rPr>
        <w:t>Arviointiperusteet</w:t>
      </w:r>
      <w:r w:rsidRPr="00E16BC6">
        <w:rPr>
          <w:rFonts w:eastAsiaTheme="minorHAnsi"/>
          <w:lang w:eastAsia="en-US"/>
        </w:rPr>
        <w:t>: Sovitaan opintosuorituksittain.</w:t>
      </w:r>
    </w:p>
    <w:p w14:paraId="2ACB5009" w14:textId="77777777" w:rsidR="00EB2F34" w:rsidRPr="00E16BC6" w:rsidRDefault="00EB2F34" w:rsidP="00EB2F34">
      <w:pPr>
        <w:rPr>
          <w:rFonts w:eastAsiaTheme="minorHAnsi"/>
          <w:lang w:eastAsia="en-US"/>
        </w:rPr>
      </w:pPr>
      <w:r w:rsidRPr="00E16BC6">
        <w:rPr>
          <w:rFonts w:eastAsiaTheme="minorHAnsi"/>
          <w:lang w:eastAsia="en-US"/>
        </w:rPr>
        <w:t>Esimerkkejä opintosuoritusten mitoitukseksi</w:t>
      </w:r>
    </w:p>
    <w:p w14:paraId="54CA3E03" w14:textId="1ACFB733" w:rsidR="00EB2F34" w:rsidRPr="00E16BC6" w:rsidRDefault="00EB2F34" w:rsidP="00EB2F34">
      <w:pPr>
        <w:rPr>
          <w:rFonts w:eastAsiaTheme="minorHAnsi"/>
          <w:lang w:eastAsia="en-US"/>
        </w:rPr>
      </w:pPr>
      <w:r w:rsidRPr="00E16BC6">
        <w:rPr>
          <w:rFonts w:eastAsiaTheme="minorHAnsi"/>
          <w:lang w:eastAsia="en-US"/>
        </w:rPr>
        <w:t>Maksimissaan 3 op / hanke - Projektitutkijan/tutkimusavustajan tehtävät omaan väitöskirjatutkimukseen suoraan liittyvällä tutkimusalueella; 0.5</w:t>
      </w:r>
      <w:r w:rsidR="00086EC4" w:rsidRPr="001634DB">
        <w:t>–</w:t>
      </w:r>
      <w:r w:rsidRPr="00E16BC6">
        <w:rPr>
          <w:rFonts w:eastAsiaTheme="minorHAnsi"/>
          <w:lang w:eastAsia="en-US"/>
        </w:rPr>
        <w:t xml:space="preserve">1 op - Uusien tutkimushankkeiden valmistelua ja hakuihin osallistumista, </w:t>
      </w:r>
    </w:p>
    <w:p w14:paraId="6DB9E3A3" w14:textId="77777777" w:rsidR="00EB2F34" w:rsidRPr="00E16BC6" w:rsidRDefault="00EB2F34" w:rsidP="00EB2F34">
      <w:pPr>
        <w:rPr>
          <w:b/>
          <w:color w:val="C00000"/>
        </w:rPr>
      </w:pPr>
      <w:r w:rsidRPr="00E16BC6">
        <w:rPr>
          <w:rFonts w:eastAsiaTheme="minorHAnsi"/>
          <w:lang w:eastAsia="en-US"/>
        </w:rPr>
        <w:t>Maksimissaan 2 op - Asiantuntijatehtävät oman väitöskirjan teemaan liittyen, esimerkiksi koulutus menetelmästä syventävällä tasolla (ei oman laitoksen opetusvelvoitteeseen liittyvä opetus)</w:t>
      </w:r>
    </w:p>
    <w:p w14:paraId="7D1E1720" w14:textId="77777777" w:rsidR="00523BC3" w:rsidRPr="00E16BC6" w:rsidRDefault="00523BC3" w:rsidP="00523BC3"/>
    <w:p w14:paraId="330411E2" w14:textId="088A2162" w:rsidR="00523BC3" w:rsidRPr="00E16BC6" w:rsidRDefault="00591B87" w:rsidP="00E16BC6">
      <w:pPr>
        <w:pStyle w:val="ListParagraph"/>
        <w:numPr>
          <w:ilvl w:val="1"/>
          <w:numId w:val="10"/>
        </w:numPr>
        <w:ind w:left="284"/>
        <w:rPr>
          <w:b/>
          <w:sz w:val="28"/>
          <w:szCs w:val="28"/>
        </w:rPr>
      </w:pPr>
      <w:r w:rsidRPr="00E16BC6">
        <w:rPr>
          <w:b/>
          <w:sz w:val="28"/>
          <w:szCs w:val="28"/>
        </w:rPr>
        <w:t>PSYJ1500</w:t>
      </w:r>
      <w:r w:rsidR="00523BC3" w:rsidRPr="00E16BC6">
        <w:rPr>
          <w:b/>
          <w:sz w:val="28"/>
          <w:szCs w:val="28"/>
        </w:rPr>
        <w:t xml:space="preserve"> Viestintäosaami</w:t>
      </w:r>
      <w:r w:rsidRPr="00E16BC6">
        <w:rPr>
          <w:b/>
          <w:sz w:val="28"/>
          <w:szCs w:val="28"/>
        </w:rPr>
        <w:t xml:space="preserve">nen </w:t>
      </w:r>
    </w:p>
    <w:p w14:paraId="3E2ED13C" w14:textId="68816A36" w:rsidR="00523BC3" w:rsidRPr="00E16BC6" w:rsidRDefault="00CA63FB" w:rsidP="00523BC3">
      <w:r>
        <w:rPr>
          <w:b/>
          <w:bCs/>
        </w:rPr>
        <w:br/>
      </w:r>
      <w:r w:rsidR="00523BC3" w:rsidRPr="001634DB">
        <w:rPr>
          <w:b/>
          <w:bCs/>
        </w:rPr>
        <w:t>Laajuus</w:t>
      </w:r>
      <w:r w:rsidR="00523BC3" w:rsidRPr="00E16BC6">
        <w:t>: 2</w:t>
      </w:r>
      <w:r w:rsidR="00086EC4" w:rsidRPr="001634DB">
        <w:t>–</w:t>
      </w:r>
      <w:r w:rsidR="00523BC3" w:rsidRPr="00E16BC6">
        <w:t>5 op</w:t>
      </w:r>
    </w:p>
    <w:p w14:paraId="251DC53D" w14:textId="2209D1AB" w:rsidR="00523BC3" w:rsidRPr="00E16BC6" w:rsidRDefault="00CA63FB" w:rsidP="00523BC3">
      <w:r>
        <w:rPr>
          <w:b/>
          <w:bCs/>
        </w:rPr>
        <w:br/>
      </w:r>
      <w:r w:rsidR="00523BC3" w:rsidRPr="001634DB">
        <w:rPr>
          <w:b/>
          <w:bCs/>
        </w:rPr>
        <w:t>Osaamistavoitteet</w:t>
      </w:r>
      <w:r w:rsidR="00523BC3" w:rsidRPr="00E16BC6">
        <w:t>: kykenee kirjalliseen ja suulliseen tieteelliseen viestintään sekä suomeksi että ainakin yhdellä vieraalla kielellä</w:t>
      </w:r>
    </w:p>
    <w:p w14:paraId="022471DB" w14:textId="6DBD6370" w:rsidR="00523BC3" w:rsidRPr="00E16BC6" w:rsidRDefault="00CA63FB" w:rsidP="00523BC3">
      <w:r>
        <w:rPr>
          <w:b/>
          <w:bCs/>
        </w:rPr>
        <w:br/>
      </w:r>
      <w:r w:rsidR="00523BC3" w:rsidRPr="001634DB">
        <w:rPr>
          <w:b/>
          <w:bCs/>
        </w:rPr>
        <w:t>Sisältö</w:t>
      </w:r>
      <w:r w:rsidR="00523BC3" w:rsidRPr="00E16BC6">
        <w:t xml:space="preserve">: Tieteellinen kirjoittaminen ja viestintä, Vuorovaikutusosaaminen, Kielitaito ja kansainvälisyysosaaminen, Mediataidot, Esiintymistaidot. </w:t>
      </w:r>
    </w:p>
    <w:p w14:paraId="0FEECA91" w14:textId="159CA31F" w:rsidR="00612CB7" w:rsidRPr="00E16BC6" w:rsidRDefault="00CA63FB" w:rsidP="00523BC3">
      <w:r>
        <w:rPr>
          <w:b/>
          <w:bCs/>
        </w:rPr>
        <w:br/>
      </w:r>
      <w:r w:rsidR="00523BC3" w:rsidRPr="001634DB">
        <w:rPr>
          <w:b/>
          <w:bCs/>
        </w:rPr>
        <w:t>Suoritustavat</w:t>
      </w:r>
      <w:r w:rsidR="00523BC3" w:rsidRPr="00E16BC6">
        <w:t>: Tieteellinen kirjoittaminen ja siihen liittyvä kurssitus tai suulliset tieteelliset esitykset. Kaikille pakollinen sisältö: vähintään 2 opintopistettä viestintäosaamisen opintoja, esimerkiksi Monikielisen akateemisen viestinnän keskuksen (</w:t>
      </w:r>
      <w:proofErr w:type="spellStart"/>
      <w:r w:rsidR="00523BC3" w:rsidRPr="00E16BC6">
        <w:t>Movi</w:t>
      </w:r>
      <w:proofErr w:type="spellEnd"/>
      <w:r w:rsidR="00523BC3" w:rsidRPr="00E16BC6">
        <w:t>) tarjoamilta kursseilta.</w:t>
      </w:r>
    </w:p>
    <w:p w14:paraId="3D2ED826" w14:textId="7328B8F4" w:rsidR="00612CB7" w:rsidRPr="00E16BC6" w:rsidRDefault="00612CB7" w:rsidP="00612CB7">
      <w:r w:rsidRPr="00E16BC6">
        <w:t xml:space="preserve">Esimerkkejä opintopistemäärien mitoitukseksi: </w:t>
      </w:r>
    </w:p>
    <w:p w14:paraId="49270D02" w14:textId="77777777" w:rsidR="00612CB7" w:rsidRPr="00E16BC6" w:rsidRDefault="00612CB7" w:rsidP="00612CB7">
      <w:r w:rsidRPr="00E16BC6">
        <w:t>Kansainvälinen konferenssi omalla suullisella esityksellä 2 op, posterilla 1 op</w:t>
      </w:r>
    </w:p>
    <w:p w14:paraId="7A2AF272" w14:textId="77777777" w:rsidR="00612CB7" w:rsidRPr="00E16BC6" w:rsidRDefault="00612CB7" w:rsidP="00612CB7">
      <w:r w:rsidRPr="00E16BC6">
        <w:t>Kotimainen konferenssi omalla suullisella esityksellä 1 op</w:t>
      </w:r>
    </w:p>
    <w:p w14:paraId="5CA3EEC2" w14:textId="77777777" w:rsidR="00612CB7" w:rsidRPr="00E16BC6" w:rsidRDefault="00612CB7" w:rsidP="00612CB7">
      <w:r w:rsidRPr="00E16BC6">
        <w:t>Oppimista tukevat lisätehtävät kuten oppimispäiväkirjat 1 op</w:t>
      </w:r>
    </w:p>
    <w:p w14:paraId="180B5F52" w14:textId="77777777" w:rsidR="00612CB7" w:rsidRPr="00E16BC6" w:rsidRDefault="00612CB7" w:rsidP="00612CB7">
      <w:r w:rsidRPr="00E16BC6">
        <w:t>Puheenjohtajuus/koordinaatiovastuu kansainvälisessä tai kansallisessa konferenssissa 1 op</w:t>
      </w:r>
    </w:p>
    <w:p w14:paraId="4B3096FB" w14:textId="07549446" w:rsidR="00523BC3" w:rsidRPr="00E16BC6" w:rsidRDefault="00612CB7" w:rsidP="00612CB7">
      <w:r w:rsidRPr="00E16BC6">
        <w:t xml:space="preserve">Tieteelliset esitykset oman ryhmän ulkopuoliselle yleisölle 1 op  </w:t>
      </w:r>
      <w:r w:rsidR="00523BC3" w:rsidRPr="00E16BC6">
        <w:t xml:space="preserve"> </w:t>
      </w:r>
    </w:p>
    <w:p w14:paraId="221CEC69" w14:textId="405A9344" w:rsidR="00523BC3" w:rsidRPr="00E16BC6" w:rsidRDefault="00CA63FB" w:rsidP="00523BC3">
      <w:r>
        <w:rPr>
          <w:b/>
          <w:bCs/>
        </w:rPr>
        <w:br/>
      </w:r>
      <w:r w:rsidR="00523BC3" w:rsidRPr="001634DB">
        <w:rPr>
          <w:b/>
          <w:bCs/>
        </w:rPr>
        <w:t>Arviointi</w:t>
      </w:r>
      <w:r w:rsidR="00523BC3" w:rsidRPr="00E16BC6">
        <w:t>: Hyväksytty</w:t>
      </w:r>
      <w:r w:rsidR="00086EC4" w:rsidRPr="001634DB">
        <w:t>–</w:t>
      </w:r>
      <w:r w:rsidR="00523BC3" w:rsidRPr="00E16BC6">
        <w:t>hylätty</w:t>
      </w:r>
    </w:p>
    <w:p w14:paraId="4AA63EBA" w14:textId="3D1294BF" w:rsidR="00523BC3" w:rsidRPr="00E16BC6" w:rsidRDefault="00CA63FB" w:rsidP="00523BC3">
      <w:r>
        <w:rPr>
          <w:b/>
          <w:bCs/>
        </w:rPr>
        <w:lastRenderedPageBreak/>
        <w:br/>
      </w:r>
      <w:r w:rsidR="00523BC3" w:rsidRPr="001634DB">
        <w:rPr>
          <w:b/>
          <w:bCs/>
        </w:rPr>
        <w:t>Arviointiperusteet</w:t>
      </w:r>
      <w:r w:rsidR="00523BC3" w:rsidRPr="00E16BC6">
        <w:t>: Sovitaan opintosuorituksittain.</w:t>
      </w:r>
    </w:p>
    <w:p w14:paraId="66C14374" w14:textId="77777777" w:rsidR="00523BC3" w:rsidRPr="00E16BC6" w:rsidRDefault="00523BC3" w:rsidP="00523BC3"/>
    <w:p w14:paraId="3862C9D3" w14:textId="77777777" w:rsidR="00523BC3" w:rsidRPr="00E16BC6" w:rsidRDefault="00523BC3" w:rsidP="00523BC3"/>
    <w:p w14:paraId="3C7CB9EF" w14:textId="32A8EBB3" w:rsidR="00523BC3" w:rsidRPr="00E16BC6" w:rsidRDefault="00523BC3" w:rsidP="00523BC3">
      <w:pPr>
        <w:rPr>
          <w:b/>
          <w:sz w:val="28"/>
          <w:szCs w:val="28"/>
        </w:rPr>
      </w:pPr>
      <w:r w:rsidRPr="00E16BC6">
        <w:rPr>
          <w:b/>
          <w:sz w:val="28"/>
          <w:szCs w:val="28"/>
        </w:rPr>
        <w:t xml:space="preserve">PSYJ1100 </w:t>
      </w:r>
      <w:r w:rsidR="00E16BC6" w:rsidRPr="00E16BC6">
        <w:rPr>
          <w:b/>
          <w:sz w:val="28"/>
          <w:szCs w:val="28"/>
        </w:rPr>
        <w:t>Väitöskirja</w:t>
      </w:r>
    </w:p>
    <w:p w14:paraId="17F5CBBC" w14:textId="14C39A7B" w:rsidR="00523BC3" w:rsidRPr="00E16BC6" w:rsidRDefault="00CA63FB" w:rsidP="00523BC3">
      <w:r>
        <w:rPr>
          <w:b/>
          <w:bCs/>
        </w:rPr>
        <w:br/>
      </w:r>
      <w:r w:rsidR="00523BC3" w:rsidRPr="001634DB">
        <w:rPr>
          <w:b/>
          <w:bCs/>
        </w:rPr>
        <w:t>Osaamistavoitteet</w:t>
      </w:r>
      <w:r w:rsidR="00523BC3" w:rsidRPr="00E16BC6">
        <w:t>:</w:t>
      </w:r>
    </w:p>
    <w:p w14:paraId="2148E0B3" w14:textId="77777777" w:rsidR="001634DB" w:rsidRDefault="00523BC3" w:rsidP="00523BC3">
      <w:pPr>
        <w:pStyle w:val="ListParagraph"/>
        <w:numPr>
          <w:ilvl w:val="0"/>
          <w:numId w:val="35"/>
        </w:numPr>
        <w:ind w:left="284" w:hanging="284"/>
      </w:pPr>
      <w:r w:rsidRPr="00E16BC6">
        <w:t>Väitöskirjatutkimuksen jälkeen opiskelija on kykenevä tekemään itsenäisesti oman alansa tutkimusta.</w:t>
      </w:r>
    </w:p>
    <w:p w14:paraId="48ADA46F" w14:textId="32BD3FE4" w:rsidR="00523BC3" w:rsidRPr="00E16BC6" w:rsidRDefault="00523BC3" w:rsidP="00523BC3">
      <w:pPr>
        <w:pStyle w:val="ListParagraph"/>
        <w:numPr>
          <w:ilvl w:val="0"/>
          <w:numId w:val="35"/>
        </w:numPr>
        <w:ind w:left="284" w:hanging="284"/>
      </w:pPr>
      <w:r w:rsidRPr="00E16BC6">
        <w:t xml:space="preserve">Opiskelija pystyy </w:t>
      </w:r>
      <w:r w:rsidR="008847A8" w:rsidRPr="00E16BC6">
        <w:t>arvioimaan oman</w:t>
      </w:r>
      <w:r w:rsidR="00E46678" w:rsidRPr="00E16BC6">
        <w:t xml:space="preserve"> alansa </w:t>
      </w:r>
      <w:r w:rsidRPr="00E16BC6">
        <w:t>tutkimusta.</w:t>
      </w:r>
    </w:p>
    <w:p w14:paraId="488A13FC" w14:textId="2F0A2B04" w:rsidR="00523BC3" w:rsidRPr="00E16BC6" w:rsidRDefault="00CA63FB" w:rsidP="00523BC3">
      <w:r>
        <w:rPr>
          <w:b/>
          <w:bCs/>
        </w:rPr>
        <w:br/>
      </w:r>
      <w:r w:rsidR="00523BC3" w:rsidRPr="001634DB">
        <w:rPr>
          <w:b/>
          <w:bCs/>
        </w:rPr>
        <w:t>Sisältö</w:t>
      </w:r>
      <w:r w:rsidR="00523BC3" w:rsidRPr="00E16BC6">
        <w:t>: Tieteellisen tutkimuksen tekeminen ohjaajien ohjauksessa. Tutkimus kohdentuu tiedekunnan tutkimusstrategian vahvuusalueille.</w:t>
      </w:r>
    </w:p>
    <w:p w14:paraId="06862B2F" w14:textId="3420F31F" w:rsidR="001634DB" w:rsidRDefault="00CA63FB" w:rsidP="001634DB">
      <w:r>
        <w:rPr>
          <w:b/>
          <w:bCs/>
        </w:rPr>
        <w:br/>
      </w:r>
      <w:r w:rsidR="00523BC3" w:rsidRPr="001634DB">
        <w:rPr>
          <w:b/>
          <w:bCs/>
        </w:rPr>
        <w:t>Arviointi</w:t>
      </w:r>
      <w:r w:rsidR="00523BC3" w:rsidRPr="00E16BC6">
        <w:t>: hylätty – hyväksytty – kiittäen hyväksytty</w:t>
      </w:r>
    </w:p>
    <w:p w14:paraId="22EECC82" w14:textId="77777777" w:rsidR="001634DB" w:rsidRDefault="001634DB" w:rsidP="001634DB"/>
    <w:p w14:paraId="76F34011" w14:textId="6FC91CDD" w:rsidR="00B21306" w:rsidRPr="00E16BC6" w:rsidRDefault="00B12EC8" w:rsidP="001634DB">
      <w:r w:rsidRPr="00E16BC6">
        <w:t xml:space="preserve">Arvioinnissa tulee ottaa huomioon väitöskirjatutkimusten erilainen suuntautuminen ja soveltaa kriteerejä sen mukaisesti. </w:t>
      </w:r>
      <w:r w:rsidR="00B21306" w:rsidRPr="00E16BC6">
        <w:t xml:space="preserve">Väitöskirjan </w:t>
      </w:r>
      <w:r w:rsidRPr="00E16BC6">
        <w:t xml:space="preserve">lopullisen </w:t>
      </w:r>
      <w:r w:rsidR="00B21306" w:rsidRPr="00E16BC6">
        <w:t>arv</w:t>
      </w:r>
      <w:r w:rsidRPr="00E16BC6">
        <w:t xml:space="preserve">osanan määräämisessä </w:t>
      </w:r>
      <w:r w:rsidR="00B21306" w:rsidRPr="00E16BC6">
        <w:t xml:space="preserve">kiinnitetään huomiota seuraaviin </w:t>
      </w:r>
      <w:r w:rsidRPr="00E16BC6">
        <w:t>kriteereihin (pisteytetään asteikolla 1</w:t>
      </w:r>
      <w:r w:rsidR="00086EC4" w:rsidRPr="001634DB">
        <w:t>–</w:t>
      </w:r>
      <w:r w:rsidRPr="00E16BC6">
        <w:t>5).</w:t>
      </w:r>
    </w:p>
    <w:p w14:paraId="6CEDB466" w14:textId="77777777" w:rsidR="00B21306" w:rsidRPr="00E16BC6" w:rsidRDefault="00B21306" w:rsidP="00B21306">
      <w:pPr>
        <w:numPr>
          <w:ilvl w:val="0"/>
          <w:numId w:val="21"/>
        </w:numPr>
        <w:jc w:val="both"/>
      </w:pPr>
      <w:r w:rsidRPr="00E16BC6">
        <w:t xml:space="preserve"> Aiheen valinta, tutkimusongelma ja tutkimustehtävän rajaus</w:t>
      </w:r>
    </w:p>
    <w:p w14:paraId="762EA05E" w14:textId="77777777" w:rsidR="00B21306" w:rsidRPr="00E16BC6" w:rsidRDefault="00B21306" w:rsidP="00B21306">
      <w:pPr>
        <w:numPr>
          <w:ilvl w:val="0"/>
          <w:numId w:val="21"/>
        </w:numPr>
        <w:jc w:val="both"/>
        <w:rPr>
          <w:lang w:val="en-GB"/>
        </w:rPr>
      </w:pPr>
      <w:r w:rsidRPr="00E16BC6">
        <w:t>Teoreettinen hallinta ja käsitteellinen selkeys</w:t>
      </w:r>
    </w:p>
    <w:p w14:paraId="75CB24F7" w14:textId="77777777" w:rsidR="00B21306" w:rsidRPr="00E16BC6" w:rsidRDefault="00B21306" w:rsidP="00B21306">
      <w:pPr>
        <w:numPr>
          <w:ilvl w:val="0"/>
          <w:numId w:val="21"/>
        </w:numPr>
        <w:jc w:val="both"/>
        <w:rPr>
          <w:lang w:val="en-GB"/>
        </w:rPr>
      </w:pPr>
      <w:r w:rsidRPr="00E16BC6">
        <w:t>Tutkimusmenetelmien käyttö</w:t>
      </w:r>
    </w:p>
    <w:p w14:paraId="0D560A73" w14:textId="77777777" w:rsidR="00B21306" w:rsidRPr="00E16BC6" w:rsidRDefault="00B21306" w:rsidP="00B21306">
      <w:pPr>
        <w:numPr>
          <w:ilvl w:val="0"/>
          <w:numId w:val="21"/>
        </w:numPr>
        <w:jc w:val="both"/>
        <w:rPr>
          <w:lang w:val="en-GB"/>
        </w:rPr>
      </w:pPr>
      <w:r w:rsidRPr="00E16BC6">
        <w:t>Tulosten esittäminen ja tutkimusongelmiin vastaaminen</w:t>
      </w:r>
    </w:p>
    <w:p w14:paraId="38DB94DA" w14:textId="77777777" w:rsidR="00B21306" w:rsidRPr="00E16BC6" w:rsidRDefault="00B21306" w:rsidP="00B21306">
      <w:pPr>
        <w:numPr>
          <w:ilvl w:val="0"/>
          <w:numId w:val="21"/>
        </w:numPr>
        <w:jc w:val="both"/>
        <w:rPr>
          <w:lang w:val="en-GB"/>
        </w:rPr>
      </w:pPr>
      <w:r w:rsidRPr="00E16BC6">
        <w:t>Johtopäätökset</w:t>
      </w:r>
    </w:p>
    <w:p w14:paraId="5AEA3613" w14:textId="77777777" w:rsidR="00B21306" w:rsidRPr="00E16BC6" w:rsidRDefault="00B21306" w:rsidP="00B21306">
      <w:pPr>
        <w:numPr>
          <w:ilvl w:val="0"/>
          <w:numId w:val="21"/>
        </w:numPr>
        <w:jc w:val="both"/>
        <w:rPr>
          <w:lang w:val="en-GB"/>
        </w:rPr>
      </w:pPr>
      <w:r w:rsidRPr="00E16BC6">
        <w:t>Työn merkittävyys sekä tulosten sovellettavuus</w:t>
      </w:r>
    </w:p>
    <w:p w14:paraId="662970A9" w14:textId="77777777" w:rsidR="00B21306" w:rsidRPr="00E16BC6" w:rsidRDefault="00B21306" w:rsidP="00B21306">
      <w:pPr>
        <w:numPr>
          <w:ilvl w:val="0"/>
          <w:numId w:val="21"/>
        </w:numPr>
        <w:jc w:val="both"/>
        <w:rPr>
          <w:lang w:val="en-GB"/>
        </w:rPr>
      </w:pPr>
      <w:r w:rsidRPr="00E16BC6">
        <w:t>Luotettavuus ja eettiset kysymykset</w:t>
      </w:r>
    </w:p>
    <w:p w14:paraId="5ED3E39A" w14:textId="77777777" w:rsidR="00B21306" w:rsidRPr="00E16BC6" w:rsidRDefault="00B21306" w:rsidP="00B21306">
      <w:pPr>
        <w:numPr>
          <w:ilvl w:val="0"/>
          <w:numId w:val="21"/>
        </w:numPr>
        <w:jc w:val="both"/>
        <w:rPr>
          <w:lang w:val="en-GB"/>
        </w:rPr>
      </w:pPr>
      <w:r w:rsidRPr="00E16BC6">
        <w:t>Esitystapa ja kielellinen ilmaisu</w:t>
      </w:r>
    </w:p>
    <w:p w14:paraId="01CF6D7B" w14:textId="77777777" w:rsidR="00B21306" w:rsidRPr="00E16BC6" w:rsidRDefault="00B21306" w:rsidP="00B21306">
      <w:pPr>
        <w:numPr>
          <w:ilvl w:val="0"/>
          <w:numId w:val="21"/>
        </w:numPr>
        <w:jc w:val="both"/>
        <w:rPr>
          <w:lang w:val="en-GB"/>
        </w:rPr>
      </w:pPr>
      <w:r w:rsidRPr="00E16BC6">
        <w:t>Itsenäisyys tutkijana</w:t>
      </w:r>
    </w:p>
    <w:p w14:paraId="0DA7B5B1" w14:textId="32B691A0" w:rsidR="00B21306" w:rsidRPr="00E16BC6" w:rsidRDefault="00B21306" w:rsidP="00B21306">
      <w:pPr>
        <w:numPr>
          <w:ilvl w:val="0"/>
          <w:numId w:val="21"/>
        </w:numPr>
        <w:jc w:val="both"/>
      </w:pPr>
      <w:r w:rsidRPr="00E16BC6">
        <w:t>Kyky puolustaa työtä julkisessa väitöstilaisuudessa.</w:t>
      </w:r>
    </w:p>
    <w:p w14:paraId="3BD80EC2" w14:textId="77777777" w:rsidR="00B12EC8" w:rsidRPr="00E16BC6" w:rsidRDefault="00B12EC8" w:rsidP="00B12EC8">
      <w:pPr>
        <w:jc w:val="both"/>
      </w:pPr>
    </w:p>
    <w:sectPr w:rsidR="00B12EC8" w:rsidRPr="00E16BC6" w:rsidSect="007E1D5B">
      <w:pgSz w:w="11906" w:h="16838"/>
      <w:pgMar w:top="1021"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143"/>
    <w:multiLevelType w:val="hybridMultilevel"/>
    <w:tmpl w:val="24E6FF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BF25C7"/>
    <w:multiLevelType w:val="hybridMultilevel"/>
    <w:tmpl w:val="131C78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FE655C"/>
    <w:multiLevelType w:val="multilevel"/>
    <w:tmpl w:val="43E645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825B7"/>
    <w:multiLevelType w:val="multilevel"/>
    <w:tmpl w:val="97C6EB58"/>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CE97B3E"/>
    <w:multiLevelType w:val="multilevel"/>
    <w:tmpl w:val="04A222AC"/>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87238"/>
    <w:multiLevelType w:val="hybridMultilevel"/>
    <w:tmpl w:val="47E4578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49B4353"/>
    <w:multiLevelType w:val="hybridMultilevel"/>
    <w:tmpl w:val="E912EC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377C9B"/>
    <w:multiLevelType w:val="multilevel"/>
    <w:tmpl w:val="12E8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724CA"/>
    <w:multiLevelType w:val="multilevel"/>
    <w:tmpl w:val="025CD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B45BDE"/>
    <w:multiLevelType w:val="hybridMultilevel"/>
    <w:tmpl w:val="1ED8C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9A3C56"/>
    <w:multiLevelType w:val="hybridMultilevel"/>
    <w:tmpl w:val="D88AE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81867AE"/>
    <w:multiLevelType w:val="hybridMultilevel"/>
    <w:tmpl w:val="A55E736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2" w15:restartNumberingAfterBreak="0">
    <w:nsid w:val="324136B0"/>
    <w:multiLevelType w:val="hybridMultilevel"/>
    <w:tmpl w:val="6C58C7F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34D3434F"/>
    <w:multiLevelType w:val="hybridMultilevel"/>
    <w:tmpl w:val="942CE6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B877A94"/>
    <w:multiLevelType w:val="hybridMultilevel"/>
    <w:tmpl w:val="5F5A5A80"/>
    <w:lvl w:ilvl="0" w:tplc="040B000F">
      <w:start w:val="1"/>
      <w:numFmt w:val="decimal"/>
      <w:lvlText w:val="%1."/>
      <w:lvlJc w:val="left"/>
      <w:pPr>
        <w:tabs>
          <w:tab w:val="num" w:pos="720"/>
        </w:tabs>
        <w:ind w:left="72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15" w15:restartNumberingAfterBreak="0">
    <w:nsid w:val="3CF54D6A"/>
    <w:multiLevelType w:val="multilevel"/>
    <w:tmpl w:val="2050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268F2"/>
    <w:multiLevelType w:val="hybridMultilevel"/>
    <w:tmpl w:val="D9262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882F83"/>
    <w:multiLevelType w:val="hybridMultilevel"/>
    <w:tmpl w:val="05CCD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F2C4EF9"/>
    <w:multiLevelType w:val="hybridMultilevel"/>
    <w:tmpl w:val="E126E8F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402C290C"/>
    <w:multiLevelType w:val="multilevel"/>
    <w:tmpl w:val="E24E6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F05275"/>
    <w:multiLevelType w:val="multilevel"/>
    <w:tmpl w:val="0E3C97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C231BE9"/>
    <w:multiLevelType w:val="hybridMultilevel"/>
    <w:tmpl w:val="0366D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0B14BA8"/>
    <w:multiLevelType w:val="multilevel"/>
    <w:tmpl w:val="4C7A3F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13228CC"/>
    <w:multiLevelType w:val="hybridMultilevel"/>
    <w:tmpl w:val="B032E1F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2263891"/>
    <w:multiLevelType w:val="hybridMultilevel"/>
    <w:tmpl w:val="8E6A050E"/>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EC660F"/>
    <w:multiLevelType w:val="multilevel"/>
    <w:tmpl w:val="48EA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CB2D57"/>
    <w:multiLevelType w:val="hybridMultilevel"/>
    <w:tmpl w:val="EE5263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441334"/>
    <w:multiLevelType w:val="hybridMultilevel"/>
    <w:tmpl w:val="BECAE7D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5F3B1423"/>
    <w:multiLevelType w:val="hybridMultilevel"/>
    <w:tmpl w:val="711487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56C3572"/>
    <w:multiLevelType w:val="multilevel"/>
    <w:tmpl w:val="14508C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89A1E19"/>
    <w:multiLevelType w:val="hybridMultilevel"/>
    <w:tmpl w:val="A802F4B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68D50781"/>
    <w:multiLevelType w:val="hybridMultilevel"/>
    <w:tmpl w:val="66DA4F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9C50825"/>
    <w:multiLevelType w:val="hybridMultilevel"/>
    <w:tmpl w:val="69066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F427837"/>
    <w:multiLevelType w:val="hybridMultilevel"/>
    <w:tmpl w:val="B92204F4"/>
    <w:lvl w:ilvl="0" w:tplc="EE5CD8C0">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8151503"/>
    <w:multiLevelType w:val="hybridMultilevel"/>
    <w:tmpl w:val="A0B4CB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84C5EE4"/>
    <w:multiLevelType w:val="hybridMultilevel"/>
    <w:tmpl w:val="28E2C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09332184">
    <w:abstractNumId w:val="0"/>
  </w:num>
  <w:num w:numId="2" w16cid:durableId="63919398">
    <w:abstractNumId w:val="24"/>
  </w:num>
  <w:num w:numId="3" w16cid:durableId="1574779632">
    <w:abstractNumId w:val="11"/>
  </w:num>
  <w:num w:numId="4" w16cid:durableId="1823764915">
    <w:abstractNumId w:val="31"/>
  </w:num>
  <w:num w:numId="5" w16cid:durableId="1948582137">
    <w:abstractNumId w:val="10"/>
  </w:num>
  <w:num w:numId="6" w16cid:durableId="1786149348">
    <w:abstractNumId w:val="8"/>
  </w:num>
  <w:num w:numId="7" w16cid:durableId="983855664">
    <w:abstractNumId w:val="1"/>
  </w:num>
  <w:num w:numId="8" w16cid:durableId="1036395227">
    <w:abstractNumId w:val="18"/>
  </w:num>
  <w:num w:numId="9" w16cid:durableId="854421670">
    <w:abstractNumId w:val="26"/>
  </w:num>
  <w:num w:numId="10" w16cid:durableId="778067467">
    <w:abstractNumId w:val="3"/>
  </w:num>
  <w:num w:numId="11" w16cid:durableId="1839423735">
    <w:abstractNumId w:val="25"/>
  </w:num>
  <w:num w:numId="12" w16cid:durableId="1829057957">
    <w:abstractNumId w:val="6"/>
  </w:num>
  <w:num w:numId="13" w16cid:durableId="237327469">
    <w:abstractNumId w:val="4"/>
  </w:num>
  <w:num w:numId="14" w16cid:durableId="1170753433">
    <w:abstractNumId w:val="28"/>
  </w:num>
  <w:num w:numId="15" w16cid:durableId="1486044160">
    <w:abstractNumId w:val="35"/>
  </w:num>
  <w:num w:numId="16" w16cid:durableId="1951400571">
    <w:abstractNumId w:val="12"/>
  </w:num>
  <w:num w:numId="17" w16cid:durableId="525170005">
    <w:abstractNumId w:val="16"/>
  </w:num>
  <w:num w:numId="18" w16cid:durableId="762913845">
    <w:abstractNumId w:val="17"/>
  </w:num>
  <w:num w:numId="19" w16cid:durableId="2054840028">
    <w:abstractNumId w:val="21"/>
  </w:num>
  <w:num w:numId="20" w16cid:durableId="1296136654">
    <w:abstractNumId w:val="27"/>
  </w:num>
  <w:num w:numId="21" w16cid:durableId="805440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4099563">
    <w:abstractNumId w:val="23"/>
  </w:num>
  <w:num w:numId="23" w16cid:durableId="1758861545">
    <w:abstractNumId w:val="14"/>
  </w:num>
  <w:num w:numId="24" w16cid:durableId="1223299069">
    <w:abstractNumId w:val="20"/>
  </w:num>
  <w:num w:numId="25" w16cid:durableId="748965637">
    <w:abstractNumId w:val="19"/>
  </w:num>
  <w:num w:numId="26" w16cid:durableId="325938108">
    <w:abstractNumId w:val="22"/>
  </w:num>
  <w:num w:numId="27" w16cid:durableId="164823508">
    <w:abstractNumId w:val="29"/>
  </w:num>
  <w:num w:numId="28" w16cid:durableId="170030128">
    <w:abstractNumId w:val="2"/>
  </w:num>
  <w:num w:numId="29" w16cid:durableId="22875362">
    <w:abstractNumId w:val="7"/>
  </w:num>
  <w:num w:numId="30" w16cid:durableId="1458521839">
    <w:abstractNumId w:val="15"/>
  </w:num>
  <w:num w:numId="31" w16cid:durableId="920138767">
    <w:abstractNumId w:val="32"/>
  </w:num>
  <w:num w:numId="32" w16cid:durableId="363097736">
    <w:abstractNumId w:val="34"/>
  </w:num>
  <w:num w:numId="33" w16cid:durableId="186525409">
    <w:abstractNumId w:val="30"/>
  </w:num>
  <w:num w:numId="34" w16cid:durableId="1476296049">
    <w:abstractNumId w:val="5"/>
  </w:num>
  <w:num w:numId="35" w16cid:durableId="288323998">
    <w:abstractNumId w:val="9"/>
  </w:num>
  <w:num w:numId="36" w16cid:durableId="866337107">
    <w:abstractNumId w:val="13"/>
  </w:num>
  <w:num w:numId="37" w16cid:durableId="10678005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06"/>
    <w:rsid w:val="0002485E"/>
    <w:rsid w:val="00025545"/>
    <w:rsid w:val="00032726"/>
    <w:rsid w:val="000336A3"/>
    <w:rsid w:val="00042341"/>
    <w:rsid w:val="00077FB0"/>
    <w:rsid w:val="00086EC4"/>
    <w:rsid w:val="000B7FA1"/>
    <w:rsid w:val="000D3979"/>
    <w:rsid w:val="001227FD"/>
    <w:rsid w:val="001402A0"/>
    <w:rsid w:val="001516EA"/>
    <w:rsid w:val="0015646A"/>
    <w:rsid w:val="0015650C"/>
    <w:rsid w:val="00156C86"/>
    <w:rsid w:val="001634DB"/>
    <w:rsid w:val="00195F40"/>
    <w:rsid w:val="001A3A48"/>
    <w:rsid w:val="001E479C"/>
    <w:rsid w:val="00216657"/>
    <w:rsid w:val="002211D6"/>
    <w:rsid w:val="00224245"/>
    <w:rsid w:val="00232A0F"/>
    <w:rsid w:val="00241599"/>
    <w:rsid w:val="00242343"/>
    <w:rsid w:val="00250E3F"/>
    <w:rsid w:val="00281841"/>
    <w:rsid w:val="002A5D0D"/>
    <w:rsid w:val="002A5FAD"/>
    <w:rsid w:val="002B4A93"/>
    <w:rsid w:val="002B4B5F"/>
    <w:rsid w:val="002D3B3C"/>
    <w:rsid w:val="00300518"/>
    <w:rsid w:val="00317F6D"/>
    <w:rsid w:val="00324991"/>
    <w:rsid w:val="00326F82"/>
    <w:rsid w:val="003403D8"/>
    <w:rsid w:val="00350BA6"/>
    <w:rsid w:val="0035229B"/>
    <w:rsid w:val="003571A8"/>
    <w:rsid w:val="00385490"/>
    <w:rsid w:val="003A2224"/>
    <w:rsid w:val="003A3E72"/>
    <w:rsid w:val="003A4D91"/>
    <w:rsid w:val="003B07AA"/>
    <w:rsid w:val="003C0B3B"/>
    <w:rsid w:val="003C23EE"/>
    <w:rsid w:val="003C78EC"/>
    <w:rsid w:val="003D0065"/>
    <w:rsid w:val="003D6904"/>
    <w:rsid w:val="003E5208"/>
    <w:rsid w:val="003F36E2"/>
    <w:rsid w:val="00404341"/>
    <w:rsid w:val="00426B5D"/>
    <w:rsid w:val="00431E92"/>
    <w:rsid w:val="00452514"/>
    <w:rsid w:val="0046576E"/>
    <w:rsid w:val="00490CA5"/>
    <w:rsid w:val="00493C46"/>
    <w:rsid w:val="004A49E6"/>
    <w:rsid w:val="004D1F7E"/>
    <w:rsid w:val="004D6EC5"/>
    <w:rsid w:val="004E39B2"/>
    <w:rsid w:val="004E6B9E"/>
    <w:rsid w:val="00517312"/>
    <w:rsid w:val="00523BC3"/>
    <w:rsid w:val="00526301"/>
    <w:rsid w:val="00536C46"/>
    <w:rsid w:val="00542A76"/>
    <w:rsid w:val="00544D15"/>
    <w:rsid w:val="0054671A"/>
    <w:rsid w:val="005875AA"/>
    <w:rsid w:val="00591B87"/>
    <w:rsid w:val="00596436"/>
    <w:rsid w:val="005A64E5"/>
    <w:rsid w:val="005A7FC6"/>
    <w:rsid w:val="005B47C9"/>
    <w:rsid w:val="005D0E14"/>
    <w:rsid w:val="005E135C"/>
    <w:rsid w:val="005F3977"/>
    <w:rsid w:val="00612CB7"/>
    <w:rsid w:val="00644AC6"/>
    <w:rsid w:val="00651DD2"/>
    <w:rsid w:val="00695A58"/>
    <w:rsid w:val="006A132B"/>
    <w:rsid w:val="006C2961"/>
    <w:rsid w:val="006E19F7"/>
    <w:rsid w:val="00700CC0"/>
    <w:rsid w:val="00702AD6"/>
    <w:rsid w:val="00712062"/>
    <w:rsid w:val="00713185"/>
    <w:rsid w:val="00766B93"/>
    <w:rsid w:val="007703C7"/>
    <w:rsid w:val="0078008E"/>
    <w:rsid w:val="007853EB"/>
    <w:rsid w:val="00787F6C"/>
    <w:rsid w:val="007A11A6"/>
    <w:rsid w:val="007E1D5B"/>
    <w:rsid w:val="007F46DA"/>
    <w:rsid w:val="00800CCA"/>
    <w:rsid w:val="0080445F"/>
    <w:rsid w:val="00807177"/>
    <w:rsid w:val="00830E7D"/>
    <w:rsid w:val="0083435F"/>
    <w:rsid w:val="0083664E"/>
    <w:rsid w:val="00841312"/>
    <w:rsid w:val="0086008B"/>
    <w:rsid w:val="00862CF1"/>
    <w:rsid w:val="00867019"/>
    <w:rsid w:val="008814EB"/>
    <w:rsid w:val="008847A8"/>
    <w:rsid w:val="008B58E8"/>
    <w:rsid w:val="008D224C"/>
    <w:rsid w:val="008F6837"/>
    <w:rsid w:val="009261EC"/>
    <w:rsid w:val="009518B9"/>
    <w:rsid w:val="00973342"/>
    <w:rsid w:val="00975B9B"/>
    <w:rsid w:val="009849FB"/>
    <w:rsid w:val="00987F09"/>
    <w:rsid w:val="009C7034"/>
    <w:rsid w:val="00A22CB3"/>
    <w:rsid w:val="00A343EA"/>
    <w:rsid w:val="00A348AD"/>
    <w:rsid w:val="00A55AC6"/>
    <w:rsid w:val="00A55E28"/>
    <w:rsid w:val="00A92AA3"/>
    <w:rsid w:val="00AA192E"/>
    <w:rsid w:val="00AA7ABA"/>
    <w:rsid w:val="00AC0245"/>
    <w:rsid w:val="00AC4414"/>
    <w:rsid w:val="00AD7D6F"/>
    <w:rsid w:val="00AE6C64"/>
    <w:rsid w:val="00AF48FC"/>
    <w:rsid w:val="00AF6C63"/>
    <w:rsid w:val="00B06AD4"/>
    <w:rsid w:val="00B12EC8"/>
    <w:rsid w:val="00B21306"/>
    <w:rsid w:val="00B237E5"/>
    <w:rsid w:val="00B31B49"/>
    <w:rsid w:val="00B5623E"/>
    <w:rsid w:val="00B87872"/>
    <w:rsid w:val="00B9481A"/>
    <w:rsid w:val="00B96737"/>
    <w:rsid w:val="00BC55F3"/>
    <w:rsid w:val="00C16809"/>
    <w:rsid w:val="00C23D32"/>
    <w:rsid w:val="00C53C3A"/>
    <w:rsid w:val="00C57D25"/>
    <w:rsid w:val="00C67641"/>
    <w:rsid w:val="00C729E9"/>
    <w:rsid w:val="00CA0439"/>
    <w:rsid w:val="00CA2645"/>
    <w:rsid w:val="00CA63FB"/>
    <w:rsid w:val="00CA72E7"/>
    <w:rsid w:val="00CA7844"/>
    <w:rsid w:val="00D012A1"/>
    <w:rsid w:val="00D17F44"/>
    <w:rsid w:val="00D21B15"/>
    <w:rsid w:val="00D35415"/>
    <w:rsid w:val="00D41D24"/>
    <w:rsid w:val="00D45711"/>
    <w:rsid w:val="00D45C2C"/>
    <w:rsid w:val="00D614C8"/>
    <w:rsid w:val="00D61AA8"/>
    <w:rsid w:val="00D643D1"/>
    <w:rsid w:val="00D86CB9"/>
    <w:rsid w:val="00D86DF1"/>
    <w:rsid w:val="00D94D96"/>
    <w:rsid w:val="00DB3444"/>
    <w:rsid w:val="00DF41F0"/>
    <w:rsid w:val="00DF4BB8"/>
    <w:rsid w:val="00DF6FB0"/>
    <w:rsid w:val="00E16BC6"/>
    <w:rsid w:val="00E210D3"/>
    <w:rsid w:val="00E310FB"/>
    <w:rsid w:val="00E342F1"/>
    <w:rsid w:val="00E34BAF"/>
    <w:rsid w:val="00E407F1"/>
    <w:rsid w:val="00E432DE"/>
    <w:rsid w:val="00E46678"/>
    <w:rsid w:val="00E50A3D"/>
    <w:rsid w:val="00EA5CF1"/>
    <w:rsid w:val="00EB2F34"/>
    <w:rsid w:val="00EB7405"/>
    <w:rsid w:val="00EF3D3E"/>
    <w:rsid w:val="00EF4C6D"/>
    <w:rsid w:val="00F40F9B"/>
    <w:rsid w:val="00F42AB4"/>
    <w:rsid w:val="00F52798"/>
    <w:rsid w:val="00F81B92"/>
    <w:rsid w:val="00F9274F"/>
    <w:rsid w:val="00F928C2"/>
    <w:rsid w:val="00FC7096"/>
    <w:rsid w:val="00FE67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DB57"/>
  <w15:docId w15:val="{0C123F48-49CF-4155-A725-6C294FB9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87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9"/>
    <w:qFormat/>
    <w:rsid w:val="00B21306"/>
    <w:pPr>
      <w:keepNext/>
      <w:outlineLvl w:val="0"/>
    </w:pPr>
    <w:rPr>
      <w:b/>
    </w:rPr>
  </w:style>
  <w:style w:type="paragraph" w:styleId="Heading3">
    <w:name w:val="heading 3"/>
    <w:basedOn w:val="Normal"/>
    <w:next w:val="Normal"/>
    <w:link w:val="Heading3Char"/>
    <w:uiPriority w:val="9"/>
    <w:semiHidden/>
    <w:unhideWhenUsed/>
    <w:qFormat/>
    <w:rsid w:val="000327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306"/>
    <w:rPr>
      <w:rFonts w:ascii="Times New Roman" w:eastAsia="SimSun" w:hAnsi="Times New Roman" w:cs="Times New Roman"/>
      <w:b/>
      <w:sz w:val="24"/>
      <w:szCs w:val="24"/>
      <w:lang w:eastAsia="zh-CN"/>
    </w:rPr>
  </w:style>
  <w:style w:type="paragraph" w:styleId="ListParagraph">
    <w:name w:val="List Paragraph"/>
    <w:basedOn w:val="Normal"/>
    <w:uiPriority w:val="34"/>
    <w:qFormat/>
    <w:rsid w:val="00B21306"/>
    <w:pPr>
      <w:ind w:left="720"/>
      <w:contextualSpacing/>
    </w:pPr>
  </w:style>
  <w:style w:type="character" w:styleId="Hyperlink">
    <w:name w:val="Hyperlink"/>
    <w:basedOn w:val="DefaultParagraphFont"/>
    <w:uiPriority w:val="99"/>
    <w:rsid w:val="00B21306"/>
    <w:rPr>
      <w:rFonts w:cs="Times New Roman"/>
      <w:color w:val="0000FF"/>
      <w:u w:val="single"/>
    </w:rPr>
  </w:style>
  <w:style w:type="paragraph" w:styleId="NormalWeb">
    <w:name w:val="Normal (Web)"/>
    <w:basedOn w:val="Normal"/>
    <w:uiPriority w:val="99"/>
    <w:rsid w:val="00B21306"/>
    <w:pPr>
      <w:spacing w:before="100" w:beforeAutospacing="1" w:after="100" w:afterAutospacing="1"/>
    </w:pPr>
    <w:rPr>
      <w:lang w:val="en-US"/>
    </w:rPr>
  </w:style>
  <w:style w:type="character" w:customStyle="1" w:styleId="visualhighlight">
    <w:name w:val="visualhighlight"/>
    <w:basedOn w:val="DefaultParagraphFont"/>
    <w:rsid w:val="00B21306"/>
  </w:style>
  <w:style w:type="character" w:styleId="CommentReference">
    <w:name w:val="annotation reference"/>
    <w:basedOn w:val="DefaultParagraphFont"/>
    <w:uiPriority w:val="99"/>
    <w:semiHidden/>
    <w:unhideWhenUsed/>
    <w:rsid w:val="00B21306"/>
    <w:rPr>
      <w:sz w:val="16"/>
      <w:szCs w:val="16"/>
    </w:rPr>
  </w:style>
  <w:style w:type="paragraph" w:styleId="CommentText">
    <w:name w:val="annotation text"/>
    <w:basedOn w:val="Normal"/>
    <w:link w:val="CommentTextChar"/>
    <w:uiPriority w:val="99"/>
    <w:unhideWhenUsed/>
    <w:rsid w:val="00B21306"/>
    <w:rPr>
      <w:sz w:val="20"/>
      <w:szCs w:val="20"/>
    </w:rPr>
  </w:style>
  <w:style w:type="character" w:customStyle="1" w:styleId="CommentTextChar">
    <w:name w:val="Comment Text Char"/>
    <w:basedOn w:val="DefaultParagraphFont"/>
    <w:link w:val="CommentText"/>
    <w:uiPriority w:val="99"/>
    <w:rsid w:val="00B21306"/>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B21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06"/>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EF3D3E"/>
    <w:rPr>
      <w:b/>
      <w:bCs/>
    </w:rPr>
  </w:style>
  <w:style w:type="character" w:customStyle="1" w:styleId="CommentSubjectChar">
    <w:name w:val="Comment Subject Char"/>
    <w:basedOn w:val="CommentTextChar"/>
    <w:link w:val="CommentSubject"/>
    <w:uiPriority w:val="99"/>
    <w:semiHidden/>
    <w:rsid w:val="00EF3D3E"/>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semiHidden/>
    <w:rsid w:val="00032726"/>
    <w:rPr>
      <w:rFonts w:asciiTheme="majorHAnsi" w:eastAsiaTheme="majorEastAsia" w:hAnsiTheme="majorHAnsi" w:cstheme="majorBidi"/>
      <w:color w:val="1F4D78" w:themeColor="accent1" w:themeShade="7F"/>
      <w:sz w:val="24"/>
      <w:szCs w:val="24"/>
      <w:lang w:eastAsia="zh-CN"/>
    </w:rPr>
  </w:style>
  <w:style w:type="table" w:styleId="TableGrid">
    <w:name w:val="Table Grid"/>
    <w:basedOn w:val="TableNormal"/>
    <w:uiPriority w:val="39"/>
    <w:rsid w:val="00404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218">
      <w:bodyDiv w:val="1"/>
      <w:marLeft w:val="0"/>
      <w:marRight w:val="0"/>
      <w:marTop w:val="0"/>
      <w:marBottom w:val="0"/>
      <w:divBdr>
        <w:top w:val="none" w:sz="0" w:space="0" w:color="auto"/>
        <w:left w:val="none" w:sz="0" w:space="0" w:color="auto"/>
        <w:bottom w:val="none" w:sz="0" w:space="0" w:color="auto"/>
        <w:right w:val="none" w:sz="0" w:space="0" w:color="auto"/>
      </w:divBdr>
      <w:divsChild>
        <w:div w:id="1889106422">
          <w:marLeft w:val="0"/>
          <w:marRight w:val="0"/>
          <w:marTop w:val="0"/>
          <w:marBottom w:val="0"/>
          <w:divBdr>
            <w:top w:val="none" w:sz="0" w:space="0" w:color="auto"/>
            <w:left w:val="none" w:sz="0" w:space="0" w:color="auto"/>
            <w:bottom w:val="none" w:sz="0" w:space="0" w:color="auto"/>
            <w:right w:val="none" w:sz="0" w:space="0" w:color="auto"/>
          </w:divBdr>
          <w:divsChild>
            <w:div w:id="1430277168">
              <w:marLeft w:val="0"/>
              <w:marRight w:val="0"/>
              <w:marTop w:val="0"/>
              <w:marBottom w:val="0"/>
              <w:divBdr>
                <w:top w:val="none" w:sz="0" w:space="0" w:color="auto"/>
                <w:left w:val="none" w:sz="0" w:space="0" w:color="auto"/>
                <w:bottom w:val="none" w:sz="0" w:space="0" w:color="auto"/>
                <w:right w:val="none" w:sz="0" w:space="0" w:color="auto"/>
              </w:divBdr>
              <w:divsChild>
                <w:div w:id="2104372896">
                  <w:marLeft w:val="0"/>
                  <w:marRight w:val="0"/>
                  <w:marTop w:val="0"/>
                  <w:marBottom w:val="0"/>
                  <w:divBdr>
                    <w:top w:val="none" w:sz="0" w:space="0" w:color="auto"/>
                    <w:left w:val="none" w:sz="0" w:space="0" w:color="auto"/>
                    <w:bottom w:val="none" w:sz="0" w:space="0" w:color="auto"/>
                    <w:right w:val="none" w:sz="0" w:space="0" w:color="auto"/>
                  </w:divBdr>
                  <w:divsChild>
                    <w:div w:id="2075279721">
                      <w:marLeft w:val="0"/>
                      <w:marRight w:val="0"/>
                      <w:marTop w:val="0"/>
                      <w:marBottom w:val="0"/>
                      <w:divBdr>
                        <w:top w:val="none" w:sz="0" w:space="0" w:color="auto"/>
                        <w:left w:val="none" w:sz="0" w:space="0" w:color="auto"/>
                        <w:bottom w:val="none" w:sz="0" w:space="0" w:color="auto"/>
                        <w:right w:val="none" w:sz="0" w:space="0" w:color="auto"/>
                      </w:divBdr>
                      <w:divsChild>
                        <w:div w:id="342632904">
                          <w:marLeft w:val="0"/>
                          <w:marRight w:val="0"/>
                          <w:marTop w:val="0"/>
                          <w:marBottom w:val="0"/>
                          <w:divBdr>
                            <w:top w:val="none" w:sz="0" w:space="0" w:color="auto"/>
                            <w:left w:val="none" w:sz="0" w:space="0" w:color="auto"/>
                            <w:bottom w:val="none" w:sz="0" w:space="0" w:color="auto"/>
                            <w:right w:val="none" w:sz="0" w:space="0" w:color="auto"/>
                          </w:divBdr>
                          <w:divsChild>
                            <w:div w:id="1138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00970">
      <w:bodyDiv w:val="1"/>
      <w:marLeft w:val="0"/>
      <w:marRight w:val="0"/>
      <w:marTop w:val="0"/>
      <w:marBottom w:val="0"/>
      <w:divBdr>
        <w:top w:val="none" w:sz="0" w:space="0" w:color="auto"/>
        <w:left w:val="none" w:sz="0" w:space="0" w:color="auto"/>
        <w:bottom w:val="none" w:sz="0" w:space="0" w:color="auto"/>
        <w:right w:val="none" w:sz="0" w:space="0" w:color="auto"/>
      </w:divBdr>
      <w:divsChild>
        <w:div w:id="97137471">
          <w:marLeft w:val="0"/>
          <w:marRight w:val="0"/>
          <w:marTop w:val="0"/>
          <w:marBottom w:val="0"/>
          <w:divBdr>
            <w:top w:val="none" w:sz="0" w:space="0" w:color="auto"/>
            <w:left w:val="none" w:sz="0" w:space="0" w:color="auto"/>
            <w:bottom w:val="none" w:sz="0" w:space="0" w:color="auto"/>
            <w:right w:val="none" w:sz="0" w:space="0" w:color="auto"/>
          </w:divBdr>
          <w:divsChild>
            <w:div w:id="1696033423">
              <w:marLeft w:val="0"/>
              <w:marRight w:val="0"/>
              <w:marTop w:val="0"/>
              <w:marBottom w:val="0"/>
              <w:divBdr>
                <w:top w:val="none" w:sz="0" w:space="0" w:color="auto"/>
                <w:left w:val="none" w:sz="0" w:space="0" w:color="auto"/>
                <w:bottom w:val="none" w:sz="0" w:space="0" w:color="auto"/>
                <w:right w:val="none" w:sz="0" w:space="0" w:color="auto"/>
              </w:divBdr>
              <w:divsChild>
                <w:div w:id="101803318">
                  <w:marLeft w:val="0"/>
                  <w:marRight w:val="0"/>
                  <w:marTop w:val="0"/>
                  <w:marBottom w:val="0"/>
                  <w:divBdr>
                    <w:top w:val="none" w:sz="0" w:space="0" w:color="auto"/>
                    <w:left w:val="none" w:sz="0" w:space="0" w:color="auto"/>
                    <w:bottom w:val="none" w:sz="0" w:space="0" w:color="auto"/>
                    <w:right w:val="none" w:sz="0" w:space="0" w:color="auto"/>
                  </w:divBdr>
                  <w:divsChild>
                    <w:div w:id="1065564221">
                      <w:marLeft w:val="0"/>
                      <w:marRight w:val="0"/>
                      <w:marTop w:val="0"/>
                      <w:marBottom w:val="0"/>
                      <w:divBdr>
                        <w:top w:val="none" w:sz="0" w:space="0" w:color="auto"/>
                        <w:left w:val="none" w:sz="0" w:space="0" w:color="auto"/>
                        <w:bottom w:val="none" w:sz="0" w:space="0" w:color="auto"/>
                        <w:right w:val="none" w:sz="0" w:space="0" w:color="auto"/>
                      </w:divBdr>
                      <w:divsChild>
                        <w:div w:id="1951932753">
                          <w:marLeft w:val="0"/>
                          <w:marRight w:val="0"/>
                          <w:marTop w:val="0"/>
                          <w:marBottom w:val="0"/>
                          <w:divBdr>
                            <w:top w:val="none" w:sz="0" w:space="0" w:color="auto"/>
                            <w:left w:val="none" w:sz="0" w:space="0" w:color="auto"/>
                            <w:bottom w:val="none" w:sz="0" w:space="0" w:color="auto"/>
                            <w:right w:val="none" w:sz="0" w:space="0" w:color="auto"/>
                          </w:divBdr>
                          <w:divsChild>
                            <w:div w:id="1142385137">
                              <w:marLeft w:val="0"/>
                              <w:marRight w:val="0"/>
                              <w:marTop w:val="0"/>
                              <w:marBottom w:val="0"/>
                              <w:divBdr>
                                <w:top w:val="none" w:sz="0" w:space="0" w:color="auto"/>
                                <w:left w:val="none" w:sz="0" w:space="0" w:color="auto"/>
                                <w:bottom w:val="none" w:sz="0" w:space="0" w:color="auto"/>
                                <w:right w:val="none" w:sz="0" w:space="0" w:color="auto"/>
                              </w:divBdr>
                              <w:divsChild>
                                <w:div w:id="19316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482241">
      <w:bodyDiv w:val="1"/>
      <w:marLeft w:val="0"/>
      <w:marRight w:val="0"/>
      <w:marTop w:val="0"/>
      <w:marBottom w:val="0"/>
      <w:divBdr>
        <w:top w:val="none" w:sz="0" w:space="0" w:color="auto"/>
        <w:left w:val="none" w:sz="0" w:space="0" w:color="auto"/>
        <w:bottom w:val="none" w:sz="0" w:space="0" w:color="auto"/>
        <w:right w:val="none" w:sz="0" w:space="0" w:color="auto"/>
      </w:divBdr>
      <w:divsChild>
        <w:div w:id="1395082783">
          <w:marLeft w:val="0"/>
          <w:marRight w:val="0"/>
          <w:marTop w:val="0"/>
          <w:marBottom w:val="0"/>
          <w:divBdr>
            <w:top w:val="none" w:sz="0" w:space="0" w:color="auto"/>
            <w:left w:val="none" w:sz="0" w:space="0" w:color="auto"/>
            <w:bottom w:val="none" w:sz="0" w:space="0" w:color="auto"/>
            <w:right w:val="none" w:sz="0" w:space="0" w:color="auto"/>
          </w:divBdr>
          <w:divsChild>
            <w:div w:id="1507289141">
              <w:marLeft w:val="-300"/>
              <w:marRight w:val="-300"/>
              <w:marTop w:val="0"/>
              <w:marBottom w:val="0"/>
              <w:divBdr>
                <w:top w:val="none" w:sz="0" w:space="0" w:color="auto"/>
                <w:left w:val="none" w:sz="0" w:space="0" w:color="auto"/>
                <w:bottom w:val="none" w:sz="0" w:space="0" w:color="auto"/>
                <w:right w:val="none" w:sz="0" w:space="0" w:color="auto"/>
              </w:divBdr>
              <w:divsChild>
                <w:div w:id="887228786">
                  <w:marLeft w:val="0"/>
                  <w:marRight w:val="0"/>
                  <w:marTop w:val="0"/>
                  <w:marBottom w:val="0"/>
                  <w:divBdr>
                    <w:top w:val="none" w:sz="0" w:space="0" w:color="auto"/>
                    <w:left w:val="none" w:sz="0" w:space="0" w:color="auto"/>
                    <w:bottom w:val="none" w:sz="0" w:space="0" w:color="auto"/>
                    <w:right w:val="none" w:sz="0" w:space="0" w:color="auto"/>
                  </w:divBdr>
                  <w:divsChild>
                    <w:div w:id="2093428624">
                      <w:marLeft w:val="0"/>
                      <w:marRight w:val="0"/>
                      <w:marTop w:val="0"/>
                      <w:marBottom w:val="0"/>
                      <w:divBdr>
                        <w:top w:val="none" w:sz="0" w:space="0" w:color="auto"/>
                        <w:left w:val="none" w:sz="0" w:space="0" w:color="auto"/>
                        <w:bottom w:val="none" w:sz="0" w:space="0" w:color="auto"/>
                        <w:right w:val="none" w:sz="0" w:space="0" w:color="auto"/>
                      </w:divBdr>
                      <w:divsChild>
                        <w:div w:id="1054088748">
                          <w:marLeft w:val="0"/>
                          <w:marRight w:val="0"/>
                          <w:marTop w:val="0"/>
                          <w:marBottom w:val="0"/>
                          <w:divBdr>
                            <w:top w:val="none" w:sz="0" w:space="0" w:color="auto"/>
                            <w:left w:val="none" w:sz="0" w:space="0" w:color="auto"/>
                            <w:bottom w:val="none" w:sz="0" w:space="0" w:color="auto"/>
                            <w:right w:val="none" w:sz="0" w:space="0" w:color="auto"/>
                          </w:divBdr>
                          <w:divsChild>
                            <w:div w:id="11997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09271">
      <w:bodyDiv w:val="1"/>
      <w:marLeft w:val="0"/>
      <w:marRight w:val="0"/>
      <w:marTop w:val="0"/>
      <w:marBottom w:val="0"/>
      <w:divBdr>
        <w:top w:val="none" w:sz="0" w:space="0" w:color="auto"/>
        <w:left w:val="none" w:sz="0" w:space="0" w:color="auto"/>
        <w:bottom w:val="none" w:sz="0" w:space="0" w:color="auto"/>
        <w:right w:val="none" w:sz="0" w:space="0" w:color="auto"/>
      </w:divBdr>
      <w:divsChild>
        <w:div w:id="630483196">
          <w:marLeft w:val="0"/>
          <w:marRight w:val="0"/>
          <w:marTop w:val="0"/>
          <w:marBottom w:val="0"/>
          <w:divBdr>
            <w:top w:val="none" w:sz="0" w:space="0" w:color="auto"/>
            <w:left w:val="none" w:sz="0" w:space="0" w:color="auto"/>
            <w:bottom w:val="none" w:sz="0" w:space="0" w:color="auto"/>
            <w:right w:val="none" w:sz="0" w:space="0" w:color="auto"/>
          </w:divBdr>
          <w:divsChild>
            <w:div w:id="1503231282">
              <w:marLeft w:val="0"/>
              <w:marRight w:val="0"/>
              <w:marTop w:val="0"/>
              <w:marBottom w:val="0"/>
              <w:divBdr>
                <w:top w:val="none" w:sz="0" w:space="0" w:color="auto"/>
                <w:left w:val="none" w:sz="0" w:space="0" w:color="auto"/>
                <w:bottom w:val="none" w:sz="0" w:space="0" w:color="auto"/>
                <w:right w:val="none" w:sz="0" w:space="0" w:color="auto"/>
              </w:divBdr>
              <w:divsChild>
                <w:div w:id="592934292">
                  <w:marLeft w:val="0"/>
                  <w:marRight w:val="0"/>
                  <w:marTop w:val="0"/>
                  <w:marBottom w:val="0"/>
                  <w:divBdr>
                    <w:top w:val="none" w:sz="0" w:space="0" w:color="auto"/>
                    <w:left w:val="none" w:sz="0" w:space="0" w:color="auto"/>
                    <w:bottom w:val="none" w:sz="0" w:space="0" w:color="auto"/>
                    <w:right w:val="none" w:sz="0" w:space="0" w:color="auto"/>
                  </w:divBdr>
                  <w:divsChild>
                    <w:div w:id="1990206227">
                      <w:marLeft w:val="0"/>
                      <w:marRight w:val="0"/>
                      <w:marTop w:val="0"/>
                      <w:marBottom w:val="0"/>
                      <w:divBdr>
                        <w:top w:val="none" w:sz="0" w:space="0" w:color="auto"/>
                        <w:left w:val="none" w:sz="0" w:space="0" w:color="auto"/>
                        <w:bottom w:val="none" w:sz="0" w:space="0" w:color="auto"/>
                        <w:right w:val="none" w:sz="0" w:space="0" w:color="auto"/>
                      </w:divBdr>
                      <w:divsChild>
                        <w:div w:id="751707665">
                          <w:marLeft w:val="0"/>
                          <w:marRight w:val="0"/>
                          <w:marTop w:val="0"/>
                          <w:marBottom w:val="0"/>
                          <w:divBdr>
                            <w:top w:val="none" w:sz="0" w:space="0" w:color="auto"/>
                            <w:left w:val="none" w:sz="0" w:space="0" w:color="auto"/>
                            <w:bottom w:val="none" w:sz="0" w:space="0" w:color="auto"/>
                            <w:right w:val="none" w:sz="0" w:space="0" w:color="auto"/>
                          </w:divBdr>
                          <w:divsChild>
                            <w:div w:id="1722749350">
                              <w:marLeft w:val="0"/>
                              <w:marRight w:val="0"/>
                              <w:marTop w:val="0"/>
                              <w:marBottom w:val="0"/>
                              <w:divBdr>
                                <w:top w:val="none" w:sz="0" w:space="0" w:color="auto"/>
                                <w:left w:val="none" w:sz="0" w:space="0" w:color="auto"/>
                                <w:bottom w:val="none" w:sz="0" w:space="0" w:color="auto"/>
                                <w:right w:val="none" w:sz="0" w:space="0" w:color="auto"/>
                              </w:divBdr>
                              <w:divsChild>
                                <w:div w:id="7174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09A1-8217-4ED8-8299-7CAE0376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1042</Words>
  <Characters>8442</Characters>
  <Application>Microsoft Office Word</Application>
  <DocSecurity>0</DocSecurity>
  <Lines>70</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Hokkanen, Tiina</dc:creator>
  <cp:lastModifiedBy>Volanen, Tiina</cp:lastModifiedBy>
  <cp:revision>10</cp:revision>
  <cp:lastPrinted>2020-01-31T12:42:00Z</cp:lastPrinted>
  <dcterms:created xsi:type="dcterms:W3CDTF">2023-10-18T11:52:00Z</dcterms:created>
  <dcterms:modified xsi:type="dcterms:W3CDTF">2023-10-18T12:20:00Z</dcterms:modified>
</cp:coreProperties>
</file>