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1926" w14:textId="77777777" w:rsidR="009E1453" w:rsidRDefault="009E1453" w:rsidP="009E1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9CE46" w14:textId="78C49929" w:rsidR="00F962D2" w:rsidRPr="00055F87" w:rsidRDefault="009E1453" w:rsidP="00055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F87">
        <w:rPr>
          <w:rFonts w:ascii="Times New Roman" w:hAnsi="Times New Roman" w:cs="Times New Roman"/>
          <w:sz w:val="24"/>
          <w:szCs w:val="24"/>
        </w:rPr>
        <w:t>Opiskelijan</w:t>
      </w:r>
      <w:proofErr w:type="spellEnd"/>
      <w:r w:rsidRPr="00055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F87">
        <w:rPr>
          <w:rFonts w:ascii="Times New Roman" w:hAnsi="Times New Roman" w:cs="Times New Roman"/>
          <w:sz w:val="24"/>
          <w:szCs w:val="24"/>
        </w:rPr>
        <w:t>nimi</w:t>
      </w:r>
      <w:proofErr w:type="spellEnd"/>
      <w:r w:rsidRPr="00055F87">
        <w:rPr>
          <w:rFonts w:ascii="Times New Roman" w:hAnsi="Times New Roman" w:cs="Times New Roman"/>
          <w:sz w:val="24"/>
          <w:szCs w:val="24"/>
        </w:rPr>
        <w:t xml:space="preserve"> / student name: </w:t>
      </w:r>
    </w:p>
    <w:tbl>
      <w:tblPr>
        <w:tblStyle w:val="TableGrid"/>
        <w:tblpPr w:leftFromText="180" w:rightFromText="180" w:horzAnchor="margin" w:tblpY="1572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F962D2" w:rsidRPr="00055F87" w14:paraId="359F3D50" w14:textId="77777777" w:rsidTr="006A29D1">
        <w:tc>
          <w:tcPr>
            <w:tcW w:w="7508" w:type="dxa"/>
            <w:vAlign w:val="center"/>
          </w:tcPr>
          <w:p w14:paraId="65AA17EC" w14:textId="77777777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701" w:type="dxa"/>
            <w:vAlign w:val="center"/>
          </w:tcPr>
          <w:p w14:paraId="4964A874" w14:textId="77777777" w:rsidR="00F962D2" w:rsidRPr="00F962D2" w:rsidRDefault="00F962D2" w:rsidP="006A2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 / ECTS</w:t>
            </w:r>
          </w:p>
        </w:tc>
      </w:tr>
      <w:tr w:rsidR="00F962D2" w:rsidRPr="00055F87" w14:paraId="5A94EB9F" w14:textId="77777777" w:rsidTr="006A29D1">
        <w:tc>
          <w:tcPr>
            <w:tcW w:w="7508" w:type="dxa"/>
            <w:shd w:val="clear" w:color="auto" w:fill="9CC2E5" w:themeFill="accent5" w:themeFillTint="99"/>
            <w:vAlign w:val="center"/>
          </w:tcPr>
          <w:p w14:paraId="3BC6F5DA" w14:textId="77146008" w:rsidR="00F962D2" w:rsidRPr="00F24F11" w:rsidRDefault="00F962D2" w:rsidP="00AF06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Tieteenalakohtainen</w:t>
            </w:r>
            <w:proofErr w:type="spellEnd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osaaminen</w:t>
            </w:r>
            <w:proofErr w:type="spellEnd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="00AA4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Discipline-specific studies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5AD28DC0" w14:textId="430DAFC3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1 total: 2</w:t>
            </w:r>
            <w:r w:rsidR="00C5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0+</w:t>
            </w:r>
          </w:p>
        </w:tc>
      </w:tr>
      <w:tr w:rsidR="00AF0681" w:rsidRPr="00055F87" w14:paraId="4278020D" w14:textId="77777777" w:rsidTr="00AF0681">
        <w:trPr>
          <w:trHeight w:val="562"/>
        </w:trPr>
        <w:tc>
          <w:tcPr>
            <w:tcW w:w="7508" w:type="dxa"/>
            <w:shd w:val="clear" w:color="auto" w:fill="FFC000"/>
            <w:vAlign w:val="center"/>
          </w:tcPr>
          <w:p w14:paraId="1E2009AE" w14:textId="77777777" w:rsidR="00AF0681" w:rsidRPr="00CF43E5" w:rsidRDefault="00AF0681" w:rsidP="006A2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PAKOLLISET OPINNOT / COMPULSORY STUDIES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E2026A9" w14:textId="77777777" w:rsidR="00AF0681" w:rsidRPr="00F24F11" w:rsidRDefault="00AF0681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D2" w:rsidRPr="00055F87" w14:paraId="3E1443FC" w14:textId="77777777" w:rsidTr="006A29D1">
        <w:tc>
          <w:tcPr>
            <w:tcW w:w="7508" w:type="dxa"/>
          </w:tcPr>
          <w:p w14:paraId="042A4A85" w14:textId="77777777" w:rsidR="00A20427" w:rsidRPr="00AF0681" w:rsidRDefault="00125155" w:rsidP="00AA4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Jatkokoulutusseminaari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// Postgraduate seminar in the specialisation</w:t>
            </w:r>
          </w:p>
          <w:p w14:paraId="6D608639" w14:textId="5D7FDE59" w:rsidR="00F962D2" w:rsidRPr="00A20427" w:rsidRDefault="00A20427" w:rsidP="00A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5155" w:rsidRPr="00A20427">
              <w:rPr>
                <w:rFonts w:ascii="Times New Roman" w:hAnsi="Times New Roman" w:cs="Times New Roman"/>
                <w:sz w:val="24"/>
                <w:szCs w:val="24"/>
              </w:rPr>
              <w:t>ne of the following: LBIJ001, LPEJ001, LYTJ001, LPSJ001, FTEJ001, LLTJ001, TGEJ001, TERJ001</w:t>
            </w:r>
          </w:p>
        </w:tc>
        <w:tc>
          <w:tcPr>
            <w:tcW w:w="1701" w:type="dxa"/>
            <w:vAlign w:val="center"/>
          </w:tcPr>
          <w:p w14:paraId="2B0A1D56" w14:textId="55A42D44" w:rsidR="00F962D2" w:rsidRPr="00F24F11" w:rsidRDefault="00125155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155" w:rsidRPr="00055F87" w14:paraId="5B8610F6" w14:textId="77777777" w:rsidTr="006A29D1">
        <w:tc>
          <w:tcPr>
            <w:tcW w:w="7508" w:type="dxa"/>
          </w:tcPr>
          <w:p w14:paraId="64036249" w14:textId="77777777" w:rsidR="00A20427" w:rsidRPr="00AF0681" w:rsidRDefault="00125155" w:rsidP="00AA4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LTKJ1005 </w:t>
            </w: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Esitykset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tieteellisissä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kongresseissa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// Presentations at scientific congresses</w:t>
            </w:r>
          </w:p>
          <w:p w14:paraId="2C751143" w14:textId="2EFD0A88" w:rsidR="00125155" w:rsidRPr="00A20427" w:rsidRDefault="00A20427" w:rsidP="00AA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>Kotimainen</w:t>
            </w:r>
            <w:proofErr w:type="spellEnd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>kongressi</w:t>
            </w:r>
            <w:proofErr w:type="spellEnd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 xml:space="preserve"> 1 op, </w:t>
            </w:r>
            <w:proofErr w:type="spellStart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>kansainvälinen</w:t>
            </w:r>
            <w:proofErr w:type="spellEnd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>kongressi</w:t>
            </w:r>
            <w:proofErr w:type="spellEnd"/>
            <w:r w:rsidRPr="00A20427">
              <w:rPr>
                <w:rFonts w:ascii="Times New Roman" w:hAnsi="Times New Roman" w:cs="Times New Roman"/>
                <w:sz w:val="24"/>
                <w:szCs w:val="24"/>
              </w:rPr>
              <w:t xml:space="preserve"> 2 op // N</w:t>
            </w:r>
            <w:r w:rsidR="00125155" w:rsidRPr="00A20427">
              <w:rPr>
                <w:rFonts w:ascii="Times New Roman" w:hAnsi="Times New Roman" w:cs="Times New Roman"/>
                <w:sz w:val="24"/>
                <w:szCs w:val="24"/>
              </w:rPr>
              <w:t>ational conference 1 ECTS, international conference 2 ECTS</w:t>
            </w:r>
          </w:p>
        </w:tc>
        <w:tc>
          <w:tcPr>
            <w:tcW w:w="1701" w:type="dxa"/>
            <w:vAlign w:val="center"/>
          </w:tcPr>
          <w:p w14:paraId="22240950" w14:textId="68B14585" w:rsidR="00125155" w:rsidRDefault="00125155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155" w:rsidRPr="00055F87" w14:paraId="1C9C0496" w14:textId="77777777" w:rsidTr="006A29D1">
        <w:tc>
          <w:tcPr>
            <w:tcW w:w="7508" w:type="dxa"/>
          </w:tcPr>
          <w:p w14:paraId="609C27B9" w14:textId="351488CD" w:rsidR="00A20427" w:rsidRPr="00AF0681" w:rsidRDefault="00125155" w:rsidP="00AA45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Opintosuunnan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syventäviä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opintoja</w:t>
            </w:r>
            <w:proofErr w:type="spellEnd"/>
            <w:r w:rsidR="00A20427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20427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// Advanced studies in the specialisation</w:t>
            </w:r>
          </w:p>
          <w:p w14:paraId="01928B07" w14:textId="0AC77835" w:rsidR="00125155" w:rsidRPr="00A20427" w:rsidRDefault="00A20427" w:rsidP="00AA45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S</w:t>
            </w:r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ovitaan erikseen ohjaajan kanssa, esim. väitöskirjatyöskentelyä tukevaa syventävää kirjallisuutta, esim. </w:t>
            </w:r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FTEJ1200, LFYJ1200, VTEJ1200 - </w:t>
            </w:r>
            <w:proofErr w:type="spellStart"/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opintosuunnan</w:t>
            </w:r>
            <w:proofErr w:type="spellEnd"/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mukaisesti</w:t>
            </w:r>
            <w:proofErr w:type="spellEnd"/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="00125155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be agreed with the supervisor, e.g. advanced literature supporting PhD studies, e.g. FTEJ1200, LFYJ1200, VTEJ1200 - depending on the </w:t>
            </w:r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specialisation</w:t>
            </w:r>
          </w:p>
        </w:tc>
        <w:tc>
          <w:tcPr>
            <w:tcW w:w="1701" w:type="dxa"/>
            <w:vAlign w:val="center"/>
          </w:tcPr>
          <w:p w14:paraId="6DEC483B" w14:textId="66667BF8" w:rsidR="00125155" w:rsidRPr="00F24F11" w:rsidRDefault="00125155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F962D2" w:rsidRPr="00055F87" w14:paraId="6362EBF9" w14:textId="77777777" w:rsidTr="006A29D1">
        <w:tc>
          <w:tcPr>
            <w:tcW w:w="7508" w:type="dxa"/>
          </w:tcPr>
          <w:p w14:paraId="029C6A84" w14:textId="02867574" w:rsidR="00F962D2" w:rsidRPr="00AF0681" w:rsidRDefault="00F962D2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Tieteenteoria</w:t>
            </w:r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opinnot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="00AA451F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Theory of Science</w:t>
            </w:r>
            <w:r w:rsidR="00125155" w:rsidRPr="00AF0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(e.g. IHMJ1</w:t>
            </w:r>
            <w:r w:rsidR="00E0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5155" w:rsidRPr="00AF0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01)</w:t>
            </w:r>
          </w:p>
        </w:tc>
        <w:tc>
          <w:tcPr>
            <w:tcW w:w="1701" w:type="dxa"/>
            <w:vAlign w:val="center"/>
          </w:tcPr>
          <w:p w14:paraId="45AEF111" w14:textId="4F61F378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3E5" w:rsidRPr="00055F87" w14:paraId="6A029045" w14:textId="77777777" w:rsidTr="00CF43E5">
        <w:trPr>
          <w:trHeight w:val="562"/>
        </w:trPr>
        <w:tc>
          <w:tcPr>
            <w:tcW w:w="7508" w:type="dxa"/>
            <w:shd w:val="clear" w:color="auto" w:fill="C5E0B3" w:themeFill="accent6" w:themeFillTint="66"/>
            <w:vAlign w:val="center"/>
          </w:tcPr>
          <w:p w14:paraId="66F65862" w14:textId="524489AA" w:rsidR="00CF43E5" w:rsidRPr="00CF43E5" w:rsidRDefault="00CF43E5" w:rsidP="00B01C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VALINNAISET OPINNOT // OPTIONAL STUDIES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3A9893C" w14:textId="77777777" w:rsidR="00CF43E5" w:rsidRPr="00F24F11" w:rsidRDefault="00CF43E5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D2" w:rsidRPr="00055F87" w14:paraId="777154B7" w14:textId="77777777" w:rsidTr="006A29D1">
        <w:tc>
          <w:tcPr>
            <w:tcW w:w="7508" w:type="dxa"/>
          </w:tcPr>
          <w:p w14:paraId="1A0C5DE6" w14:textId="4239155D" w:rsidR="00F962D2" w:rsidRPr="00F24F11" w:rsidRDefault="00F962D2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Tutkimusvierailut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AA4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Research mobility</w:t>
            </w:r>
            <w:r w:rsidR="00125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(LTKJ1003)</w:t>
            </w:r>
          </w:p>
        </w:tc>
        <w:tc>
          <w:tcPr>
            <w:tcW w:w="1701" w:type="dxa"/>
            <w:vAlign w:val="center"/>
          </w:tcPr>
          <w:p w14:paraId="677B1213" w14:textId="77777777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D2" w:rsidRPr="00E04FCB" w14:paraId="3ADBDBF0" w14:textId="77777777" w:rsidTr="006A29D1">
        <w:tc>
          <w:tcPr>
            <w:tcW w:w="7508" w:type="dxa"/>
          </w:tcPr>
          <w:p w14:paraId="51CBED4F" w14:textId="0F33C028" w:rsidR="00F962D2" w:rsidRPr="00CF43E5" w:rsidRDefault="00CF43E5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Vapaasti valittavia opintojaksoja // </w:t>
            </w:r>
            <w:proofErr w:type="spellStart"/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Optional</w:t>
            </w:r>
            <w:proofErr w:type="spellEnd"/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ourses</w:t>
            </w:r>
            <w:proofErr w:type="spellEnd"/>
          </w:p>
        </w:tc>
        <w:tc>
          <w:tcPr>
            <w:tcW w:w="1701" w:type="dxa"/>
            <w:vAlign w:val="center"/>
          </w:tcPr>
          <w:p w14:paraId="175BE138" w14:textId="77777777" w:rsidR="00F962D2" w:rsidRPr="00CF43E5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F962D2" w:rsidRPr="00055F87" w14:paraId="495D7833" w14:textId="77777777" w:rsidTr="00570BC7">
        <w:tc>
          <w:tcPr>
            <w:tcW w:w="7508" w:type="dxa"/>
            <w:shd w:val="clear" w:color="auto" w:fill="9CC2E5" w:themeFill="accent5" w:themeFillTint="99"/>
            <w:vAlign w:val="center"/>
          </w:tcPr>
          <w:p w14:paraId="275CFB5F" w14:textId="5010EA88" w:rsidR="00F962D2" w:rsidRPr="00F24F11" w:rsidRDefault="00F962D2" w:rsidP="00AF06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Yleiset</w:t>
            </w:r>
            <w:proofErr w:type="spellEnd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valmiustaidot</w:t>
            </w:r>
            <w:proofErr w:type="spellEnd"/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="008C0F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Transferable skills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352436F7" w14:textId="0AFFA209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 2 total: </w:t>
            </w:r>
            <w:r w:rsidR="00C55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max. half of the studies</w:t>
            </w:r>
          </w:p>
        </w:tc>
      </w:tr>
      <w:tr w:rsidR="00AF0681" w:rsidRPr="00055F87" w14:paraId="328EF28E" w14:textId="77777777" w:rsidTr="00AF0681">
        <w:trPr>
          <w:trHeight w:val="562"/>
        </w:trPr>
        <w:tc>
          <w:tcPr>
            <w:tcW w:w="7508" w:type="dxa"/>
            <w:shd w:val="clear" w:color="auto" w:fill="FFC000"/>
            <w:vAlign w:val="center"/>
          </w:tcPr>
          <w:p w14:paraId="63581349" w14:textId="51B4B688" w:rsidR="00AF0681" w:rsidRPr="00CF43E5" w:rsidRDefault="00AF0681" w:rsidP="006A29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PAKOLLISET OPINNOT // COMPULSORY STUDIES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E8D061" w14:textId="77777777" w:rsidR="00AF0681" w:rsidRPr="00F24F11" w:rsidRDefault="00AF0681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D2" w:rsidRPr="00055F87" w14:paraId="1D1BC41F" w14:textId="77777777" w:rsidTr="006A29D1">
        <w:tc>
          <w:tcPr>
            <w:tcW w:w="7508" w:type="dxa"/>
          </w:tcPr>
          <w:p w14:paraId="08EFEA72" w14:textId="6CA61388" w:rsidR="00F962D2" w:rsidRPr="00AF0681" w:rsidRDefault="00F962D2" w:rsidP="006A29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Tutkimusetii</w:t>
            </w:r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</w:t>
            </w:r>
            <w:proofErr w:type="spellEnd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opinnot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271A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C0F6F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Research ethics </w:t>
            </w:r>
            <w:r w:rsidR="009904C5" w:rsidRPr="00AF0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(e.g. IHMJ1</w:t>
            </w:r>
            <w:r w:rsidR="00E0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04C5" w:rsidRPr="00AF0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02)</w:t>
            </w:r>
          </w:p>
        </w:tc>
        <w:tc>
          <w:tcPr>
            <w:tcW w:w="1701" w:type="dxa"/>
            <w:vAlign w:val="center"/>
          </w:tcPr>
          <w:p w14:paraId="7701DA2C" w14:textId="77777777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F962D2" w:rsidRPr="00055F87" w14:paraId="54A521E5" w14:textId="77777777" w:rsidTr="006A29D1">
        <w:tc>
          <w:tcPr>
            <w:tcW w:w="7508" w:type="dxa"/>
          </w:tcPr>
          <w:p w14:paraId="4D3F8FBC" w14:textId="60B1D5F8" w:rsidR="00F962D2" w:rsidRPr="00AF0681" w:rsidRDefault="00F962D2" w:rsidP="006A29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Avoi</w:t>
            </w:r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men </w:t>
            </w:r>
            <w:proofErr w:type="spellStart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tieteen</w:t>
            </w:r>
            <w:proofErr w:type="spellEnd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opinnot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="008C0F6F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Open </w:t>
            </w:r>
            <w:r w:rsid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cience</w:t>
            </w:r>
            <w:r w:rsidR="009904C5"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04C5" w:rsidRPr="00AF0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(e.g. LIBJ1001)</w:t>
            </w:r>
          </w:p>
        </w:tc>
        <w:tc>
          <w:tcPr>
            <w:tcW w:w="1701" w:type="dxa"/>
            <w:vAlign w:val="center"/>
          </w:tcPr>
          <w:p w14:paraId="1A79FB29" w14:textId="77777777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9904C5" w:rsidRPr="00055F87" w14:paraId="7B7BB02F" w14:textId="77777777" w:rsidTr="006A29D1">
        <w:tc>
          <w:tcPr>
            <w:tcW w:w="7508" w:type="dxa"/>
          </w:tcPr>
          <w:p w14:paraId="7852161C" w14:textId="77777777" w:rsidR="009904C5" w:rsidRPr="00AF0681" w:rsidRDefault="009904C5" w:rsidP="006A29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Tutkimusmenetelmäopinnot</w:t>
            </w:r>
            <w:proofErr w:type="spellEnd"/>
            <w:r w:rsidRPr="00AF06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// Research methodology</w:t>
            </w:r>
          </w:p>
          <w:p w14:paraId="2DBB4DB3" w14:textId="5A4DDB42" w:rsidR="009904C5" w:rsidRPr="00A20427" w:rsidRDefault="00A20427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Yliopiston,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tiedekunnan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tai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muun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tahon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järjestämä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jatko-opintotasoisia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tutkimusmenetelmäopintoja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joita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tohtoriopiskelija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valitsee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ohjaajien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tiedekunnan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tohtorikoulun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suositusten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mukaisesti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oman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jatko-opintotyöskentelynsä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suuntaisesti</w:t>
            </w:r>
            <w:proofErr w:type="spell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//</w:t>
            </w:r>
            <w:r>
              <w:t xml:space="preserve"> </w:t>
            </w:r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Studies in research methods at the level of doctoral studies arranged by a university, </w:t>
            </w:r>
            <w:proofErr w:type="gramStart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faculty</w:t>
            </w:r>
            <w:proofErr w:type="gramEnd"/>
            <w:r w:rsidRPr="00A204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or other equivalent quarter, chosen by doctoral student according to the recommendations of supervisors and faculty parallel to the thesis research project.</w:t>
            </w:r>
          </w:p>
        </w:tc>
        <w:tc>
          <w:tcPr>
            <w:tcW w:w="1701" w:type="dxa"/>
            <w:vAlign w:val="center"/>
          </w:tcPr>
          <w:p w14:paraId="05A08E31" w14:textId="7826352F" w:rsidR="009904C5" w:rsidRPr="00F24F11" w:rsidRDefault="009904C5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</w:tr>
      <w:tr w:rsidR="009904C5" w:rsidRPr="00055F87" w14:paraId="0D0167CB" w14:textId="77777777" w:rsidTr="006A29D1">
        <w:tc>
          <w:tcPr>
            <w:tcW w:w="7508" w:type="dxa"/>
          </w:tcPr>
          <w:p w14:paraId="69A9E6C5" w14:textId="77777777" w:rsidR="009904C5" w:rsidRPr="00E04FCB" w:rsidRDefault="009904C5" w:rsidP="006A29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E04F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Viestintäosaaminen // </w:t>
            </w:r>
            <w:proofErr w:type="spellStart"/>
            <w:r w:rsidRPr="00E04F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Communication</w:t>
            </w:r>
            <w:proofErr w:type="spellEnd"/>
            <w:r w:rsidRPr="00E04F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04F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skills</w:t>
            </w:r>
            <w:proofErr w:type="spellEnd"/>
          </w:p>
          <w:p w14:paraId="24E06EC9" w14:textId="1648DB20" w:rsidR="009904C5" w:rsidRDefault="009904C5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E77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Yliopiston, tiedekunnan tai muun tahon järjestämä jatko-opintotasoisia viestintä- ja kieliopintoja, joita tohtorikoulutettava valitsee ohjaajien ja </w:t>
            </w:r>
            <w:r w:rsidRPr="00552E77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lastRenderedPageBreak/>
              <w:t xml:space="preserve">tiedekunnan tohtorikoulun suositusten mukaisesti oman jatko-opintotyöskentelynsä suuntaisesti.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Esimerkiksi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MOVIn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jatko-opiskelijoille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suunnatut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tiedeviestinnän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kurssit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kieliopinnot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Postgraduate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level communication and language studies that complement the thesis project and that are arranged by a university, </w:t>
            </w:r>
            <w:proofErr w:type="gram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faculty</w:t>
            </w:r>
            <w:proofErr w:type="gram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other organisation, chosen by the PhD student according to the recommendations of supervisors and faculty. For example, MOVI courses in scientific communication and language courses for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doctoral 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students.</w:t>
            </w:r>
          </w:p>
        </w:tc>
        <w:tc>
          <w:tcPr>
            <w:tcW w:w="1701" w:type="dxa"/>
            <w:vAlign w:val="center"/>
          </w:tcPr>
          <w:p w14:paraId="5106CD5E" w14:textId="7514F5EC" w:rsidR="009904C5" w:rsidRDefault="009904C5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2-6</w:t>
            </w:r>
          </w:p>
        </w:tc>
      </w:tr>
      <w:tr w:rsidR="00F962D2" w:rsidRPr="00055F87" w14:paraId="6C053AF9" w14:textId="77777777" w:rsidTr="00CF43E5">
        <w:tc>
          <w:tcPr>
            <w:tcW w:w="7508" w:type="dxa"/>
            <w:shd w:val="clear" w:color="auto" w:fill="C5E0B3" w:themeFill="accent6" w:themeFillTint="66"/>
          </w:tcPr>
          <w:p w14:paraId="2A6234C5" w14:textId="77777777" w:rsidR="00F962D2" w:rsidRDefault="00F962D2" w:rsidP="006A29D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VALINNAISET OPINNOT /</w:t>
            </w:r>
            <w:r w:rsidR="008C0F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OPTIONAL STUDIES</w:t>
            </w:r>
          </w:p>
          <w:p w14:paraId="4D431B7A" w14:textId="63C1020C" w:rsidR="00B54835" w:rsidRPr="00B54835" w:rsidRDefault="00B54835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Muu</w:t>
            </w:r>
            <w:proofErr w:type="spellEnd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ammatillisen</w:t>
            </w:r>
            <w:proofErr w:type="spellEnd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asiantuntijuuden</w:t>
            </w:r>
            <w:proofErr w:type="spellEnd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rakentumista</w:t>
            </w:r>
            <w:proofErr w:type="spellEnd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tukeva</w:t>
            </w:r>
            <w:proofErr w:type="spellEnd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osaaminen</w:t>
            </w:r>
            <w:proofErr w:type="spellEnd"/>
            <w:r w:rsidRPr="00B5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Other competence that supports the development of professional expertise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281E399" w14:textId="77777777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D2" w:rsidRPr="00055F87" w14:paraId="76596A61" w14:textId="77777777" w:rsidTr="006A29D1">
        <w:tc>
          <w:tcPr>
            <w:tcW w:w="7508" w:type="dxa"/>
            <w:shd w:val="clear" w:color="auto" w:fill="auto"/>
          </w:tcPr>
          <w:p w14:paraId="082F9F87" w14:textId="77777777" w:rsidR="00F962D2" w:rsidRDefault="00F962D2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LTKJ002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Työllä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ansaitut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opintopisteet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Credits from working </w:t>
            </w:r>
            <w:proofErr w:type="gram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</w:t>
            </w:r>
            <w:proofErr w:type="gramEnd"/>
          </w:p>
          <w:p w14:paraId="1FB44CDC" w14:textId="0C5467EF" w:rsidR="00125155" w:rsidRPr="00125155" w:rsidRDefault="00125155" w:rsidP="006A29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Huom.</w:t>
            </w:r>
            <w:r w:rsidRPr="00125155">
              <w:rPr>
                <w:lang w:val="fi-FI"/>
              </w:rPr>
              <w:t xml:space="preserve"> </w:t>
            </w:r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Työstä ansaittavia opintopisteitä ei voi saada takautuvasti, vaan ainoastaan jatko-opintosuunnitelmaan kirjatut, vaativat tehtävät jatko-opintosuunnitelman hyväksymisen jälkeen voivat olla opintopisteitä tuottavia työtehtäviä.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//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Note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:</w:t>
            </w:r>
            <w:r w:rsidRPr="00125155">
              <w:rPr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The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credits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earned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from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work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cannot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be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retroactively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obtained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;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only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demanding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tasks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recorded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in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the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postgraduate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study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plan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after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its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approval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can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produce</w:t>
            </w:r>
            <w:proofErr w:type="spellEnd"/>
            <w:r w:rsidRPr="0012515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ECTS.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544B3" w14:textId="06DFCA54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125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2D2" w:rsidRPr="00055F87" w14:paraId="34292BDA" w14:textId="77777777" w:rsidTr="006A29D1">
        <w:tc>
          <w:tcPr>
            <w:tcW w:w="7508" w:type="dxa"/>
            <w:shd w:val="clear" w:color="auto" w:fill="auto"/>
          </w:tcPr>
          <w:p w14:paraId="5B72398F" w14:textId="5F7A5CF4" w:rsidR="00F962D2" w:rsidRPr="00F24F11" w:rsidRDefault="00F962D2" w:rsidP="003C2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Pedagogiset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taidot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johtajuusosaaminen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yrittäjyysosaaminen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laatu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tai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kehittämistyö</w:t>
            </w:r>
            <w:proofErr w:type="spellEnd"/>
            <w:r w:rsid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työelämätietous</w:t>
            </w:r>
            <w:proofErr w:type="spellEnd"/>
            <w:r w:rsidR="003C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8C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C2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427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Pedagogical skills, knowledge of leadership, entrepreneurship, </w:t>
            </w:r>
            <w:proofErr w:type="gramStart"/>
            <w:r w:rsidR="00A20427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quality</w:t>
            </w:r>
            <w:proofErr w:type="gramEnd"/>
            <w:r w:rsidR="00A20427" w:rsidRPr="00A20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development, working life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6F7B1" w14:textId="77777777" w:rsidR="00F962D2" w:rsidRPr="00F24F11" w:rsidRDefault="00F962D2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sz w:val="24"/>
                <w:szCs w:val="24"/>
              </w:rPr>
              <w:t>Max. 4</w:t>
            </w:r>
          </w:p>
        </w:tc>
      </w:tr>
      <w:tr w:rsidR="00A20427" w:rsidRPr="00E04FCB" w14:paraId="45876A44" w14:textId="77777777" w:rsidTr="006A29D1">
        <w:tc>
          <w:tcPr>
            <w:tcW w:w="7508" w:type="dxa"/>
            <w:shd w:val="clear" w:color="auto" w:fill="auto"/>
          </w:tcPr>
          <w:p w14:paraId="7DCBF10C" w14:textId="100E8DE4" w:rsidR="00A20427" w:rsidRPr="00CF43E5" w:rsidRDefault="00CF43E5" w:rsidP="003C27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Vapaasti valittav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i</w:t>
            </w:r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a opintojakso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ja</w:t>
            </w:r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// </w:t>
            </w:r>
            <w:proofErr w:type="spellStart"/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Optional</w:t>
            </w:r>
            <w:proofErr w:type="spellEnd"/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F43E5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ourses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3EB50CC" w14:textId="77777777" w:rsidR="00A20427" w:rsidRPr="00CF43E5" w:rsidRDefault="00A20427" w:rsidP="006A2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C5577D" w:rsidRPr="00055F87" w14:paraId="37C4AA5D" w14:textId="77777777" w:rsidTr="00C5577D">
        <w:tc>
          <w:tcPr>
            <w:tcW w:w="7508" w:type="dxa"/>
            <w:shd w:val="clear" w:color="auto" w:fill="BDD6EE" w:themeFill="accent5" w:themeFillTint="66"/>
            <w:vAlign w:val="center"/>
          </w:tcPr>
          <w:p w14:paraId="53EDF87B" w14:textId="40F52A72" w:rsidR="00C5577D" w:rsidRPr="00C5577D" w:rsidRDefault="00C5577D" w:rsidP="00C55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Täydentävät</w:t>
            </w:r>
            <w:proofErr w:type="spellEnd"/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opinnot</w:t>
            </w:r>
            <w:proofErr w:type="spellEnd"/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tarvittaessa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C55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// Supplementary studies (if required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6B625E33" w14:textId="19EAE8B6" w:rsidR="00C5577D" w:rsidRPr="00F24F11" w:rsidRDefault="00C5577D" w:rsidP="00C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2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(if applicable)</w:t>
            </w:r>
          </w:p>
        </w:tc>
      </w:tr>
      <w:tr w:rsidR="00C5577D" w:rsidRPr="00055F87" w14:paraId="6654C085" w14:textId="77777777" w:rsidTr="006A29D1">
        <w:tc>
          <w:tcPr>
            <w:tcW w:w="7508" w:type="dxa"/>
            <w:shd w:val="clear" w:color="auto" w:fill="auto"/>
          </w:tcPr>
          <w:p w14:paraId="2A8408E9" w14:textId="7E31CA05" w:rsidR="00C5577D" w:rsidRPr="00F24F11" w:rsidRDefault="00C5577D" w:rsidP="00C5577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HUOM: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 </w:t>
            </w:r>
            <w:proofErr w:type="spellStart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tohtori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opintoja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edeltävän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maisterin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tutkinnon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pääaine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kuin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tohtoriopintojen</w:t>
            </w:r>
            <w:proofErr w:type="spellEnd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opintosuunta</w:t>
            </w:r>
            <w:proofErr w:type="spellEnd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tohtoriopiskelijaa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edellytetään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suoritetta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uuden</w:t>
            </w:r>
            <w:proofErr w:type="spellEnd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opintosuunnan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täydentäviä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opintoja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esim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aineopintoja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125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suunnitelmassa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kaavailtujen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syventävien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opintojen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lisäksi</w:t>
            </w:r>
            <w:proofErr w:type="spellEnd"/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="00D0556D" w:rsidRPr="00D05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PLEASE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NOTE: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If the discipline of the previous degree is different 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from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specialisation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doctoral studies, the 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doctoral 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 must obtain 15 ECTS (subject) studies in the new discipline in addition to the minimum of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ECTS</w:t>
            </w:r>
            <w:r w:rsidR="00D05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6ADC2" w14:textId="2505FBA6" w:rsidR="00C5577D" w:rsidRPr="00F24F11" w:rsidRDefault="00ED6C43" w:rsidP="00C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(if applicable)</w:t>
            </w:r>
          </w:p>
        </w:tc>
      </w:tr>
      <w:tr w:rsidR="00C5577D" w:rsidRPr="00055F87" w14:paraId="6F3B62FA" w14:textId="77777777" w:rsidTr="002565F7">
        <w:tc>
          <w:tcPr>
            <w:tcW w:w="7508" w:type="dxa"/>
            <w:shd w:val="clear" w:color="auto" w:fill="auto"/>
            <w:vAlign w:val="center"/>
          </w:tcPr>
          <w:p w14:paraId="2AAB5135" w14:textId="1C9A1FE6" w:rsidR="00C5577D" w:rsidRPr="00552E77" w:rsidRDefault="00C5577D" w:rsidP="00C5577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552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Opintojen laajuus yhteensä // Total </w:t>
            </w:r>
            <w:proofErr w:type="spellStart"/>
            <w:r w:rsidRPr="00552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credits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06A03B0" w14:textId="77777777" w:rsidR="00C5577D" w:rsidRPr="00B54835" w:rsidRDefault="00C5577D" w:rsidP="00C55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 40, </w:t>
            </w:r>
          </w:p>
          <w:p w14:paraId="78FC9405" w14:textId="77777777" w:rsidR="00C5577D" w:rsidRPr="00B54835" w:rsidRDefault="00C5577D" w:rsidP="00C55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60</w:t>
            </w:r>
          </w:p>
          <w:p w14:paraId="5DCFDD99" w14:textId="77777777" w:rsidR="00C5577D" w:rsidRDefault="00C5577D" w:rsidP="00C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2537" w14:textId="70A64F45" w:rsidR="00C5577D" w:rsidRPr="00F24F11" w:rsidRDefault="00C5577D" w:rsidP="00C5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minimum of 40 ECTS applies to those who are not required to take the supplementary studies</w:t>
            </w:r>
          </w:p>
        </w:tc>
      </w:tr>
    </w:tbl>
    <w:p w14:paraId="2B808E67" w14:textId="48C63CA9" w:rsidR="00F962D2" w:rsidRPr="00055F87" w:rsidRDefault="00F962D2" w:rsidP="00055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62D2" w:rsidRPr="00055F87" w:rsidSect="001B5B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DEB3" w14:textId="77777777" w:rsidR="00DD485E" w:rsidRDefault="00DD485E" w:rsidP="00092495">
      <w:pPr>
        <w:spacing w:after="0" w:line="240" w:lineRule="auto"/>
      </w:pPr>
      <w:r>
        <w:separator/>
      </w:r>
    </w:p>
  </w:endnote>
  <w:endnote w:type="continuationSeparator" w:id="0">
    <w:p w14:paraId="4E58B39B" w14:textId="77777777" w:rsidR="00DD485E" w:rsidRDefault="00DD485E" w:rsidP="000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9850" w14:textId="77777777" w:rsidR="00DD485E" w:rsidRDefault="00DD485E" w:rsidP="00092495">
      <w:pPr>
        <w:spacing w:after="0" w:line="240" w:lineRule="auto"/>
      </w:pPr>
      <w:r>
        <w:separator/>
      </w:r>
    </w:p>
  </w:footnote>
  <w:footnote w:type="continuationSeparator" w:id="0">
    <w:p w14:paraId="2585F9E2" w14:textId="77777777" w:rsidR="00DD485E" w:rsidRDefault="00DD485E" w:rsidP="000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68AA" w14:textId="77777777" w:rsidR="00F962D2" w:rsidRPr="00055F87" w:rsidRDefault="00F962D2" w:rsidP="00F962D2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055F87">
      <w:rPr>
        <w:rFonts w:ascii="Times New Roman" w:hAnsi="Times New Roman" w:cs="Times New Roman"/>
        <w:b/>
        <w:bCs/>
        <w:sz w:val="24"/>
        <w:szCs w:val="24"/>
      </w:rPr>
      <w:t>Jatko-opintosuunnitelma</w:t>
    </w:r>
    <w:proofErr w:type="spellEnd"/>
    <w:r w:rsidRPr="00055F87">
      <w:rPr>
        <w:rFonts w:ascii="Times New Roman" w:hAnsi="Times New Roman" w:cs="Times New Roman"/>
        <w:b/>
        <w:bCs/>
        <w:sz w:val="24"/>
        <w:szCs w:val="24"/>
      </w:rPr>
      <w:t xml:space="preserve"> / Doctoral study plan</w:t>
    </w:r>
  </w:p>
  <w:p w14:paraId="29E151A2" w14:textId="77777777" w:rsidR="00F962D2" w:rsidRDefault="00F96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0967"/>
    <w:multiLevelType w:val="hybridMultilevel"/>
    <w:tmpl w:val="2182BE4C"/>
    <w:lvl w:ilvl="0" w:tplc="2EB420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9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95"/>
    <w:rsid w:val="00055F87"/>
    <w:rsid w:val="00092495"/>
    <w:rsid w:val="00125155"/>
    <w:rsid w:val="001476C3"/>
    <w:rsid w:val="001828BF"/>
    <w:rsid w:val="001B5B8D"/>
    <w:rsid w:val="00200933"/>
    <w:rsid w:val="0024706C"/>
    <w:rsid w:val="002565F7"/>
    <w:rsid w:val="00270916"/>
    <w:rsid w:val="00356A3B"/>
    <w:rsid w:val="0039452D"/>
    <w:rsid w:val="003B7F32"/>
    <w:rsid w:val="003C11B0"/>
    <w:rsid w:val="003C271A"/>
    <w:rsid w:val="00406E77"/>
    <w:rsid w:val="00431DAA"/>
    <w:rsid w:val="00471B0A"/>
    <w:rsid w:val="004F2949"/>
    <w:rsid w:val="00552E77"/>
    <w:rsid w:val="00567B9E"/>
    <w:rsid w:val="00570BC7"/>
    <w:rsid w:val="00721BD7"/>
    <w:rsid w:val="0082206C"/>
    <w:rsid w:val="008C0F6F"/>
    <w:rsid w:val="008C6F3A"/>
    <w:rsid w:val="009904C5"/>
    <w:rsid w:val="009E1453"/>
    <w:rsid w:val="00A20427"/>
    <w:rsid w:val="00AA451F"/>
    <w:rsid w:val="00AF0681"/>
    <w:rsid w:val="00B03F04"/>
    <w:rsid w:val="00B54835"/>
    <w:rsid w:val="00B57CE4"/>
    <w:rsid w:val="00BD0422"/>
    <w:rsid w:val="00C5577D"/>
    <w:rsid w:val="00CF43E5"/>
    <w:rsid w:val="00D0556D"/>
    <w:rsid w:val="00D666EA"/>
    <w:rsid w:val="00D95962"/>
    <w:rsid w:val="00DD485E"/>
    <w:rsid w:val="00DE5D59"/>
    <w:rsid w:val="00E04FCB"/>
    <w:rsid w:val="00ED6C43"/>
    <w:rsid w:val="00F24F11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5905"/>
  <w15:chartTrackingRefBased/>
  <w15:docId w15:val="{70E1381D-71A3-4BF7-BA25-82F4218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495"/>
  </w:style>
  <w:style w:type="paragraph" w:styleId="Footer">
    <w:name w:val="footer"/>
    <w:basedOn w:val="Normal"/>
    <w:link w:val="FooterChar"/>
    <w:uiPriority w:val="99"/>
    <w:unhideWhenUsed/>
    <w:rsid w:val="00092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495"/>
  </w:style>
  <w:style w:type="paragraph" w:styleId="ListParagraph">
    <w:name w:val="List Paragraph"/>
    <w:basedOn w:val="Normal"/>
    <w:uiPriority w:val="34"/>
    <w:qFormat/>
    <w:rsid w:val="00A2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489</Words>
  <Characters>3964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Cronin</dc:creator>
  <cp:keywords/>
  <dc:description/>
  <cp:lastModifiedBy>Ahonen, Tiina</cp:lastModifiedBy>
  <cp:revision>6</cp:revision>
  <dcterms:created xsi:type="dcterms:W3CDTF">2024-02-21T11:04:00Z</dcterms:created>
  <dcterms:modified xsi:type="dcterms:W3CDTF">2024-03-25T06:50:00Z</dcterms:modified>
</cp:coreProperties>
</file>