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C6A1BC" w14:textId="2A9B1B5C" w:rsidR="002B4E6B" w:rsidRPr="00053F22" w:rsidRDefault="00812885">
      <w:pPr>
        <w:rPr>
          <w:rFonts w:cstheme="minorHAnsi"/>
          <w:lang w:val="en-GB"/>
        </w:rPr>
      </w:pPr>
      <w:r>
        <w:rPr>
          <w:rFonts w:cstheme="minorHAnsi"/>
          <w:lang w:val="en-GB"/>
        </w:rPr>
        <w:t>2</w:t>
      </w:r>
      <w:r w:rsidR="00041269">
        <w:rPr>
          <w:rFonts w:cstheme="minorHAnsi"/>
          <w:lang w:val="en-GB"/>
        </w:rPr>
        <w:t>5</w:t>
      </w:r>
      <w:r w:rsidR="00173E41" w:rsidRPr="00053F22">
        <w:rPr>
          <w:rFonts w:cstheme="minorHAnsi"/>
          <w:lang w:val="en-GB"/>
        </w:rPr>
        <w:t xml:space="preserve"> </w:t>
      </w:r>
      <w:r w:rsidR="00624C1E">
        <w:rPr>
          <w:rFonts w:cstheme="minorHAnsi"/>
          <w:lang w:val="en-GB"/>
        </w:rPr>
        <w:t>November</w:t>
      </w:r>
      <w:r w:rsidR="00173E41" w:rsidRPr="00053F22">
        <w:rPr>
          <w:rFonts w:cstheme="minorHAnsi"/>
          <w:lang w:val="en-GB"/>
        </w:rPr>
        <w:t xml:space="preserve"> </w:t>
      </w:r>
      <w:r w:rsidR="002B4E6B" w:rsidRPr="00053F22">
        <w:rPr>
          <w:rFonts w:cstheme="minorHAnsi"/>
          <w:lang w:val="en-GB"/>
        </w:rPr>
        <w:t>202</w:t>
      </w:r>
      <w:r w:rsidR="003C5BFB">
        <w:rPr>
          <w:rFonts w:cstheme="minorHAnsi"/>
          <w:lang w:val="en-GB"/>
        </w:rPr>
        <w:t>5</w:t>
      </w:r>
    </w:p>
    <w:p w14:paraId="6162CFFD" w14:textId="4CA24819" w:rsidR="00CE5F3A" w:rsidRPr="00053F22" w:rsidRDefault="009C2AF3">
      <w:pPr>
        <w:rPr>
          <w:rFonts w:cstheme="minorHAnsi"/>
          <w:lang w:val="en-GB"/>
        </w:rPr>
      </w:pPr>
      <w:r w:rsidRPr="00053F22">
        <w:rPr>
          <w:rFonts w:cstheme="minorHAnsi"/>
          <w:highlight w:val="green"/>
          <w:lang w:val="en-GB"/>
        </w:rPr>
        <w:t>T</w:t>
      </w:r>
      <w:r w:rsidR="00A10EEB" w:rsidRPr="00053F22">
        <w:rPr>
          <w:rFonts w:cstheme="minorHAnsi"/>
          <w:highlight w:val="green"/>
          <w:lang w:val="en-GB"/>
        </w:rPr>
        <w:t>he ones</w:t>
      </w:r>
      <w:r w:rsidR="00F279BA" w:rsidRPr="00053F22">
        <w:rPr>
          <w:rFonts w:cstheme="minorHAnsi"/>
          <w:highlight w:val="green"/>
          <w:lang w:val="en-GB"/>
        </w:rPr>
        <w:t xml:space="preserve"> </w:t>
      </w:r>
      <w:r w:rsidR="00A10EEB" w:rsidRPr="00053F22">
        <w:rPr>
          <w:rFonts w:cstheme="minorHAnsi"/>
          <w:highlight w:val="green"/>
          <w:lang w:val="en-GB"/>
        </w:rPr>
        <w:t>(Data Processors)</w:t>
      </w:r>
      <w:r w:rsidR="00597AC5">
        <w:rPr>
          <w:rFonts w:cstheme="minorHAnsi"/>
          <w:highlight w:val="green"/>
          <w:lang w:val="en-GB"/>
        </w:rPr>
        <w:t xml:space="preserve"> </w:t>
      </w:r>
      <w:r w:rsidR="00A10EEB" w:rsidRPr="00053F22">
        <w:rPr>
          <w:rFonts w:cstheme="minorHAnsi"/>
          <w:highlight w:val="green"/>
          <w:lang w:val="en-GB"/>
        </w:rPr>
        <w:t>researchers generally use for scientific research</w:t>
      </w:r>
      <w:r w:rsidRPr="00053F22">
        <w:rPr>
          <w:rFonts w:cstheme="minorHAnsi"/>
          <w:highlight w:val="green"/>
          <w:lang w:val="en-GB"/>
        </w:rPr>
        <w:t xml:space="preserve"> </w:t>
      </w:r>
      <w:r w:rsidR="00A10EEB" w:rsidRPr="00053F22">
        <w:rPr>
          <w:rFonts w:cstheme="minorHAnsi"/>
          <w:highlight w:val="green"/>
          <w:lang w:val="en-GB"/>
        </w:rPr>
        <w:t xml:space="preserve">are marked </w:t>
      </w:r>
      <w:r w:rsidR="008C0AEA">
        <w:rPr>
          <w:rFonts w:cstheme="minorHAnsi"/>
          <w:highlight w:val="green"/>
          <w:lang w:val="en-GB"/>
        </w:rPr>
        <w:t>in</w:t>
      </w:r>
      <w:r w:rsidR="008C0AEA" w:rsidRPr="00053F22">
        <w:rPr>
          <w:rFonts w:cstheme="minorHAnsi"/>
          <w:highlight w:val="green"/>
          <w:lang w:val="en-GB"/>
        </w:rPr>
        <w:t xml:space="preserve"> </w:t>
      </w:r>
      <w:r w:rsidR="00A10EEB" w:rsidRPr="00053F22">
        <w:rPr>
          <w:rFonts w:cstheme="minorHAnsi"/>
          <w:highlight w:val="green"/>
          <w:lang w:val="en-GB"/>
        </w:rPr>
        <w:t>green</w:t>
      </w:r>
      <w:r w:rsidRPr="00053F22">
        <w:rPr>
          <w:rFonts w:cstheme="minorHAnsi"/>
          <w:highlight w:val="green"/>
          <w:lang w:val="en-GB"/>
        </w:rPr>
        <w:t>.</w:t>
      </w:r>
    </w:p>
    <w:p w14:paraId="039740B6" w14:textId="77777777" w:rsidR="00A7389A" w:rsidRDefault="00A10EEB">
      <w:pPr>
        <w:rPr>
          <w:rFonts w:cstheme="minorHAnsi"/>
          <w:lang w:val="en-GB"/>
        </w:rPr>
      </w:pPr>
      <w:r w:rsidRPr="00053F22">
        <w:rPr>
          <w:rFonts w:cstheme="minorHAnsi"/>
          <w:lang w:val="en-GB"/>
        </w:rPr>
        <w:t xml:space="preserve">The Data controller </w:t>
      </w:r>
      <w:r w:rsidR="009E0059" w:rsidRPr="00053F22">
        <w:rPr>
          <w:rFonts w:cstheme="minorHAnsi"/>
          <w:lang w:val="en-GB"/>
        </w:rPr>
        <w:t>(</w:t>
      </w:r>
      <w:r w:rsidRPr="00053F22">
        <w:rPr>
          <w:rFonts w:cstheme="minorHAnsi"/>
          <w:lang w:val="en-GB"/>
        </w:rPr>
        <w:t xml:space="preserve">University of </w:t>
      </w:r>
      <w:r w:rsidR="009E0059" w:rsidRPr="00053F22">
        <w:rPr>
          <w:rFonts w:cstheme="minorHAnsi"/>
          <w:lang w:val="en-GB"/>
        </w:rPr>
        <w:t xml:space="preserve">Jyväskylä) </w:t>
      </w:r>
      <w:r w:rsidRPr="00053F22">
        <w:rPr>
          <w:rFonts w:cstheme="minorHAnsi"/>
          <w:lang w:val="en-GB"/>
        </w:rPr>
        <w:t>can outsource the processing of personal data</w:t>
      </w:r>
      <w:r w:rsidR="00597AC5" w:rsidRPr="00597AC5">
        <w:rPr>
          <w:rFonts w:cstheme="minorHAnsi"/>
          <w:lang w:val="en-GB"/>
        </w:rPr>
        <w:t xml:space="preserve"> </w:t>
      </w:r>
      <w:r w:rsidR="00597AC5" w:rsidRPr="00053F22">
        <w:rPr>
          <w:rFonts w:cstheme="minorHAnsi"/>
          <w:lang w:val="en-GB"/>
        </w:rPr>
        <w:t>by agreement</w:t>
      </w:r>
      <w:r w:rsidR="009E0059" w:rsidRPr="00053F22">
        <w:rPr>
          <w:rFonts w:cstheme="minorHAnsi"/>
          <w:lang w:val="en-GB"/>
        </w:rPr>
        <w:t>.</w:t>
      </w:r>
      <w:r w:rsidR="00FF7D02" w:rsidRPr="00053F22">
        <w:rPr>
          <w:rFonts w:cstheme="minorHAnsi"/>
          <w:color w:val="1F2425"/>
          <w:lang w:val="en-GB"/>
        </w:rPr>
        <w:t xml:space="preserve"> </w:t>
      </w:r>
      <w:r w:rsidRPr="00053F22">
        <w:rPr>
          <w:rFonts w:cstheme="minorHAnsi"/>
          <w:color w:val="1F2425"/>
          <w:lang w:val="en-GB"/>
        </w:rPr>
        <w:t>Data Processor is a specific role defined in</w:t>
      </w:r>
      <w:r w:rsidR="00DB352A">
        <w:rPr>
          <w:rFonts w:cstheme="minorHAnsi"/>
          <w:color w:val="1F2425"/>
          <w:lang w:val="en-GB"/>
        </w:rPr>
        <w:t xml:space="preserve"> the</w:t>
      </w:r>
      <w:r w:rsidRPr="00053F22">
        <w:rPr>
          <w:rFonts w:cstheme="minorHAnsi"/>
          <w:color w:val="1F2425"/>
          <w:lang w:val="en-GB"/>
        </w:rPr>
        <w:t xml:space="preserve"> </w:t>
      </w:r>
      <w:r w:rsidR="00DB352A">
        <w:rPr>
          <w:rFonts w:cstheme="minorHAnsi"/>
          <w:color w:val="1F2425"/>
          <w:lang w:val="en-GB"/>
        </w:rPr>
        <w:t>General Data Protection Regulation</w:t>
      </w:r>
      <w:r w:rsidR="00FF7D02" w:rsidRPr="00053F22">
        <w:rPr>
          <w:rFonts w:cstheme="minorHAnsi"/>
          <w:color w:val="1F2425"/>
          <w:lang w:val="en-GB"/>
        </w:rPr>
        <w:t xml:space="preserve">. </w:t>
      </w:r>
      <w:r w:rsidRPr="00053F22">
        <w:rPr>
          <w:rFonts w:cstheme="minorHAnsi"/>
          <w:color w:val="1F2425"/>
          <w:lang w:val="en-GB"/>
        </w:rPr>
        <w:t xml:space="preserve">A data subject has the right to know to whom </w:t>
      </w:r>
      <w:r w:rsidR="00597AC5">
        <w:rPr>
          <w:rFonts w:cstheme="minorHAnsi"/>
          <w:color w:val="1F2425"/>
          <w:lang w:val="en-GB"/>
        </w:rPr>
        <w:t>their</w:t>
      </w:r>
      <w:r w:rsidRPr="00053F22">
        <w:rPr>
          <w:rFonts w:cstheme="minorHAnsi"/>
          <w:color w:val="1F2425"/>
          <w:lang w:val="en-GB"/>
        </w:rPr>
        <w:t xml:space="preserve"> personal data </w:t>
      </w:r>
      <w:r w:rsidR="00DB352A">
        <w:rPr>
          <w:rFonts w:cstheme="minorHAnsi"/>
          <w:color w:val="1F2425"/>
          <w:lang w:val="en-GB"/>
        </w:rPr>
        <w:t>is</w:t>
      </w:r>
      <w:r w:rsidRPr="00053F22">
        <w:rPr>
          <w:rFonts w:cstheme="minorHAnsi"/>
          <w:color w:val="1F2425"/>
          <w:lang w:val="en-GB"/>
        </w:rPr>
        <w:t xml:space="preserve"> transferred</w:t>
      </w:r>
      <w:r w:rsidR="002B4E6B" w:rsidRPr="00053F22">
        <w:rPr>
          <w:rFonts w:cstheme="minorHAnsi"/>
          <w:lang w:val="en-GB"/>
        </w:rPr>
        <w:t xml:space="preserve">. </w:t>
      </w:r>
      <w:r w:rsidRPr="00053F22">
        <w:rPr>
          <w:rFonts w:cstheme="minorHAnsi"/>
          <w:lang w:val="en-GB"/>
        </w:rPr>
        <w:t>Data subjects</w:t>
      </w:r>
      <w:r w:rsidR="00F279BA" w:rsidRPr="00053F22">
        <w:rPr>
          <w:rFonts w:cstheme="minorHAnsi"/>
          <w:lang w:val="en-GB"/>
        </w:rPr>
        <w:t xml:space="preserve"> </w:t>
      </w:r>
      <w:r w:rsidRPr="00053F22">
        <w:rPr>
          <w:rFonts w:cstheme="minorHAnsi"/>
          <w:lang w:val="en-GB"/>
        </w:rPr>
        <w:t xml:space="preserve">also have the right to know whether their personal data are transferred outside the </w:t>
      </w:r>
      <w:r w:rsidR="009E0059" w:rsidRPr="00053F22">
        <w:rPr>
          <w:rFonts w:cstheme="minorHAnsi"/>
          <w:lang w:val="en-GB"/>
        </w:rPr>
        <w:t>EU/E</w:t>
      </w:r>
      <w:r w:rsidRPr="00053F22">
        <w:rPr>
          <w:rFonts w:cstheme="minorHAnsi"/>
          <w:lang w:val="en-GB"/>
        </w:rPr>
        <w:t>E</w:t>
      </w:r>
      <w:r w:rsidR="009E0059" w:rsidRPr="00053F22">
        <w:rPr>
          <w:rFonts w:cstheme="minorHAnsi"/>
          <w:lang w:val="en-GB"/>
        </w:rPr>
        <w:t xml:space="preserve">A </w:t>
      </w:r>
      <w:r w:rsidRPr="00053F22">
        <w:rPr>
          <w:rFonts w:cstheme="minorHAnsi"/>
          <w:lang w:val="en-GB"/>
        </w:rPr>
        <w:t>area</w:t>
      </w:r>
      <w:r w:rsidR="005A09A6" w:rsidRPr="00053F22">
        <w:rPr>
          <w:rFonts w:cstheme="minorHAnsi"/>
          <w:lang w:val="en-GB"/>
        </w:rPr>
        <w:t xml:space="preserve">, </w:t>
      </w:r>
      <w:r w:rsidRPr="00053F22">
        <w:rPr>
          <w:rFonts w:cstheme="minorHAnsi"/>
          <w:lang w:val="en-GB"/>
        </w:rPr>
        <w:t xml:space="preserve">what </w:t>
      </w:r>
      <w:r w:rsidR="009C2781">
        <w:rPr>
          <w:rFonts w:cstheme="minorHAnsi"/>
          <w:lang w:val="en-GB"/>
        </w:rPr>
        <w:t xml:space="preserve">are </w:t>
      </w:r>
      <w:r w:rsidRPr="00053F22">
        <w:rPr>
          <w:rFonts w:cstheme="minorHAnsi"/>
          <w:lang w:val="en-GB"/>
        </w:rPr>
        <w:t>the</w:t>
      </w:r>
      <w:r w:rsidR="00F279BA" w:rsidRPr="00053F22">
        <w:rPr>
          <w:rFonts w:cstheme="minorHAnsi"/>
          <w:lang w:val="en-GB"/>
        </w:rPr>
        <w:t xml:space="preserve"> </w:t>
      </w:r>
      <w:r w:rsidRPr="00053F22">
        <w:rPr>
          <w:rFonts w:cstheme="minorHAnsi"/>
          <w:lang w:val="en-GB"/>
        </w:rPr>
        <w:t>appropriate protective measures, and where</w:t>
      </w:r>
      <w:r w:rsidR="00F279BA" w:rsidRPr="00053F22">
        <w:rPr>
          <w:rFonts w:cstheme="minorHAnsi"/>
          <w:lang w:val="en-GB"/>
        </w:rPr>
        <w:t xml:space="preserve"> </w:t>
      </w:r>
      <w:r w:rsidRPr="00053F22">
        <w:rPr>
          <w:rFonts w:cstheme="minorHAnsi"/>
          <w:lang w:val="en-GB"/>
        </w:rPr>
        <w:t xml:space="preserve">they can get a copy </w:t>
      </w:r>
      <w:r w:rsidR="00DB352A">
        <w:rPr>
          <w:rFonts w:cstheme="minorHAnsi"/>
          <w:lang w:val="en-GB"/>
        </w:rPr>
        <w:t>of the model contractual clauses (</w:t>
      </w:r>
      <w:r w:rsidR="00A7389A">
        <w:rPr>
          <w:rFonts w:cstheme="minorHAnsi"/>
          <w:lang w:val="en-GB"/>
        </w:rPr>
        <w:t>European Commission</w:t>
      </w:r>
      <w:r w:rsidR="00DB352A">
        <w:rPr>
          <w:rFonts w:cstheme="minorHAnsi"/>
          <w:lang w:val="en-GB"/>
        </w:rPr>
        <w:t xml:space="preserve"> SC</w:t>
      </w:r>
      <w:r w:rsidR="00A7389A">
        <w:rPr>
          <w:rFonts w:cstheme="minorHAnsi"/>
          <w:lang w:val="en-GB"/>
        </w:rPr>
        <w:t>Cs)</w:t>
      </w:r>
      <w:r w:rsidR="00F978D0" w:rsidRPr="00053F22">
        <w:rPr>
          <w:rFonts w:cstheme="minorHAnsi"/>
          <w:lang w:val="en-GB"/>
        </w:rPr>
        <w:t xml:space="preserve">. </w:t>
      </w:r>
      <w:r w:rsidR="00431461" w:rsidRPr="00053F22">
        <w:rPr>
          <w:rFonts w:cstheme="minorHAnsi"/>
          <w:lang w:val="en-GB"/>
        </w:rPr>
        <w:t>In</w:t>
      </w:r>
      <w:r w:rsidR="00A7389A">
        <w:rPr>
          <w:rFonts w:cstheme="minorHAnsi"/>
          <w:lang w:val="en-GB"/>
        </w:rPr>
        <w:t>stead of</w:t>
      </w:r>
      <w:r w:rsidR="00431461" w:rsidRPr="00053F22">
        <w:rPr>
          <w:rFonts w:cstheme="minorHAnsi"/>
          <w:lang w:val="en-GB"/>
        </w:rPr>
        <w:t xml:space="preserve"> the model </w:t>
      </w:r>
      <w:r w:rsidR="00B62C8D" w:rsidRPr="00053F22">
        <w:rPr>
          <w:rFonts w:cstheme="minorHAnsi"/>
          <w:lang w:val="en-GB"/>
        </w:rPr>
        <w:t xml:space="preserve">contract </w:t>
      </w:r>
      <w:r w:rsidR="00431461" w:rsidRPr="00053F22">
        <w:rPr>
          <w:rFonts w:cstheme="minorHAnsi"/>
          <w:lang w:val="en-GB"/>
        </w:rPr>
        <w:t xml:space="preserve">clauses, </w:t>
      </w:r>
      <w:r w:rsidR="009A058F" w:rsidRPr="00053F22">
        <w:rPr>
          <w:rFonts w:cstheme="minorHAnsi"/>
          <w:lang w:val="en-GB"/>
        </w:rPr>
        <w:t>a</w:t>
      </w:r>
      <w:r w:rsidR="00F279BA" w:rsidRPr="00053F22">
        <w:rPr>
          <w:rFonts w:cstheme="minorHAnsi"/>
          <w:lang w:val="en-GB"/>
        </w:rPr>
        <w:t xml:space="preserve"> </w:t>
      </w:r>
      <w:r w:rsidR="009A058F" w:rsidRPr="00053F22">
        <w:rPr>
          <w:rFonts w:cstheme="minorHAnsi"/>
          <w:lang w:val="en-GB"/>
        </w:rPr>
        <w:t xml:space="preserve">protective measure can be </w:t>
      </w:r>
      <w:r w:rsidR="00F279BA" w:rsidRPr="00053F22">
        <w:rPr>
          <w:rFonts w:cstheme="minorHAnsi"/>
          <w:lang w:val="en-GB"/>
        </w:rPr>
        <w:t xml:space="preserve">the </w:t>
      </w:r>
      <w:r w:rsidR="009A058F" w:rsidRPr="00053F22">
        <w:rPr>
          <w:rFonts w:cstheme="minorHAnsi"/>
          <w:lang w:val="en-GB"/>
        </w:rPr>
        <w:t xml:space="preserve">Commission’s decision on </w:t>
      </w:r>
      <w:r w:rsidR="00F279BA" w:rsidRPr="00053F22">
        <w:rPr>
          <w:rFonts w:cstheme="minorHAnsi"/>
          <w:lang w:val="en-GB"/>
        </w:rPr>
        <w:t>adequacy,</w:t>
      </w:r>
      <w:r w:rsidR="009A058F" w:rsidRPr="00053F22">
        <w:rPr>
          <w:rFonts w:cstheme="minorHAnsi"/>
          <w:lang w:val="en-GB"/>
        </w:rPr>
        <w:t xml:space="preserve"> </w:t>
      </w:r>
      <w:r w:rsidR="00965C00" w:rsidRPr="00053F22">
        <w:rPr>
          <w:rFonts w:cstheme="minorHAnsi"/>
          <w:lang w:val="en-GB"/>
        </w:rPr>
        <w:t xml:space="preserve">or </w:t>
      </w:r>
      <w:r w:rsidR="009A058F" w:rsidRPr="00053F22">
        <w:rPr>
          <w:rFonts w:cstheme="minorHAnsi"/>
          <w:lang w:val="en-GB"/>
        </w:rPr>
        <w:t>in transfers to the United States</w:t>
      </w:r>
      <w:r w:rsidR="005A09A6" w:rsidRPr="00053F22">
        <w:rPr>
          <w:rFonts w:cstheme="minorHAnsi"/>
          <w:lang w:val="en-GB"/>
        </w:rPr>
        <w:t>,</w:t>
      </w:r>
      <w:r w:rsidR="009A058F" w:rsidRPr="00053F22">
        <w:rPr>
          <w:rFonts w:cstheme="minorHAnsi"/>
          <w:lang w:val="en-GB"/>
        </w:rPr>
        <w:t xml:space="preserve"> the company’s participation in the </w:t>
      </w:r>
      <w:r w:rsidR="00107E30" w:rsidRPr="00053F22">
        <w:rPr>
          <w:rFonts w:cstheme="minorHAnsi"/>
          <w:color w:val="2C2C2C"/>
          <w:shd w:val="clear" w:color="auto" w:fill="FFFFFF"/>
          <w:lang w:val="en-GB"/>
        </w:rPr>
        <w:t xml:space="preserve">EU-U.S. Data Privacy Framework </w:t>
      </w:r>
      <w:r w:rsidR="009A058F" w:rsidRPr="00053F22">
        <w:rPr>
          <w:rFonts w:cstheme="minorHAnsi"/>
          <w:color w:val="2C2C2C"/>
          <w:shd w:val="clear" w:color="auto" w:fill="FFFFFF"/>
          <w:lang w:val="en-GB"/>
        </w:rPr>
        <w:t>arrangement</w:t>
      </w:r>
      <w:r w:rsidR="00107E30" w:rsidRPr="00053F22">
        <w:rPr>
          <w:rFonts w:cstheme="minorHAnsi"/>
          <w:color w:val="2C2C2C"/>
          <w:shd w:val="clear" w:color="auto" w:fill="FFFFFF"/>
          <w:lang w:val="en-GB"/>
        </w:rPr>
        <w:t>.</w:t>
      </w:r>
      <w:r w:rsidR="00C00794" w:rsidRPr="00053F22">
        <w:rPr>
          <w:rFonts w:cstheme="minorHAnsi"/>
          <w:lang w:val="en-GB"/>
        </w:rPr>
        <w:t xml:space="preserve"> </w:t>
      </w:r>
      <w:r w:rsidR="009A058F" w:rsidRPr="00053F22">
        <w:rPr>
          <w:rFonts w:cstheme="minorHAnsi"/>
          <w:lang w:val="en-GB"/>
        </w:rPr>
        <w:t xml:space="preserve">The model </w:t>
      </w:r>
      <w:r w:rsidR="00B62C8D" w:rsidRPr="00053F22">
        <w:rPr>
          <w:rFonts w:cstheme="minorHAnsi"/>
          <w:lang w:val="en-GB"/>
        </w:rPr>
        <w:t xml:space="preserve">contract </w:t>
      </w:r>
      <w:r w:rsidR="009A058F" w:rsidRPr="00053F22">
        <w:rPr>
          <w:rFonts w:cstheme="minorHAnsi"/>
          <w:lang w:val="en-GB"/>
        </w:rPr>
        <w:t>clauses are available from</w:t>
      </w:r>
      <w:r w:rsidR="008702EA">
        <w:rPr>
          <w:rFonts w:cstheme="minorHAnsi"/>
          <w:lang w:val="en-GB"/>
        </w:rPr>
        <w:t xml:space="preserve"> the</w:t>
      </w:r>
      <w:r w:rsidR="009A058F" w:rsidRPr="00053F22">
        <w:rPr>
          <w:rFonts w:cstheme="minorHAnsi"/>
          <w:lang w:val="en-GB"/>
        </w:rPr>
        <w:t xml:space="preserve"> JYU Registry Office (</w:t>
      </w:r>
      <w:hyperlink r:id="rId8" w:history="1">
        <w:r w:rsidR="009A058F" w:rsidRPr="00053F22">
          <w:rPr>
            <w:rStyle w:val="Hyperlink"/>
            <w:rFonts w:cstheme="minorHAnsi"/>
            <w:lang w:val="en-GB"/>
          </w:rPr>
          <w:t>kirjaamo@jyu.fi</w:t>
        </w:r>
      </w:hyperlink>
      <w:r w:rsidR="009A058F" w:rsidRPr="00053F22">
        <w:rPr>
          <w:rFonts w:cstheme="minorHAnsi"/>
          <w:lang w:val="en-GB"/>
        </w:rPr>
        <w:t>)</w:t>
      </w:r>
      <w:r w:rsidR="007A367E" w:rsidRPr="00053F22">
        <w:rPr>
          <w:rStyle w:val="Hyperlink"/>
          <w:rFonts w:cstheme="minorHAnsi"/>
          <w:color w:val="auto"/>
          <w:u w:val="none"/>
          <w:lang w:val="en-GB"/>
        </w:rPr>
        <w:t xml:space="preserve"> </w:t>
      </w:r>
      <w:r w:rsidR="009A058F" w:rsidRPr="00053F22">
        <w:rPr>
          <w:rStyle w:val="Hyperlink"/>
          <w:rFonts w:cstheme="minorHAnsi"/>
          <w:color w:val="auto"/>
          <w:u w:val="none"/>
          <w:lang w:val="en-GB"/>
        </w:rPr>
        <w:t>if personal data are transferred</w:t>
      </w:r>
      <w:r w:rsidR="009E0059" w:rsidRPr="00053F22">
        <w:rPr>
          <w:rFonts w:cstheme="minorHAnsi"/>
          <w:lang w:val="en-GB"/>
        </w:rPr>
        <w:t>.</w:t>
      </w:r>
      <w:r w:rsidR="002B4E6B" w:rsidRPr="00053F22">
        <w:rPr>
          <w:rFonts w:cstheme="minorHAnsi"/>
          <w:lang w:val="en-GB"/>
        </w:rPr>
        <w:t xml:space="preserve"> </w:t>
      </w:r>
      <w:r w:rsidR="005A09A6" w:rsidRPr="00053F22">
        <w:rPr>
          <w:rFonts w:cstheme="minorHAnsi"/>
          <w:lang w:val="en-GB"/>
        </w:rPr>
        <w:t>In addition, t</w:t>
      </w:r>
      <w:r w:rsidR="00CA318F" w:rsidRPr="00053F22">
        <w:rPr>
          <w:rFonts w:cstheme="minorHAnsi"/>
          <w:lang w:val="en-GB"/>
        </w:rPr>
        <w:t>he Data Controller</w:t>
      </w:r>
      <w:r w:rsidR="00F279BA" w:rsidRPr="00053F22">
        <w:rPr>
          <w:rFonts w:cstheme="minorHAnsi"/>
          <w:lang w:val="en-GB"/>
        </w:rPr>
        <w:t xml:space="preserve"> </w:t>
      </w:r>
      <w:r w:rsidR="00CA318F" w:rsidRPr="00053F22">
        <w:rPr>
          <w:rFonts w:cstheme="minorHAnsi"/>
          <w:lang w:val="en-GB"/>
        </w:rPr>
        <w:t xml:space="preserve">must have </w:t>
      </w:r>
      <w:r w:rsidR="00F279BA" w:rsidRPr="00053F22">
        <w:rPr>
          <w:rFonts w:cstheme="minorHAnsi"/>
          <w:lang w:val="en-GB"/>
        </w:rPr>
        <w:t xml:space="preserve">signed </w:t>
      </w:r>
      <w:r w:rsidR="00CA318F" w:rsidRPr="00053F22">
        <w:rPr>
          <w:rFonts w:cstheme="minorHAnsi"/>
          <w:lang w:val="en-GB"/>
        </w:rPr>
        <w:t xml:space="preserve">a Data Processing Agreement for </w:t>
      </w:r>
      <w:proofErr w:type="spellStart"/>
      <w:r w:rsidR="00CA318F" w:rsidRPr="00053F22">
        <w:rPr>
          <w:rFonts w:cstheme="minorHAnsi"/>
          <w:lang w:val="en-GB"/>
        </w:rPr>
        <w:t>pers</w:t>
      </w:r>
      <w:proofErr w:type="spellEnd"/>
    </w:p>
    <w:p w14:paraId="22D9F6D1" w14:textId="77777777" w:rsidR="00A7389A" w:rsidRDefault="00A7389A">
      <w:pPr>
        <w:rPr>
          <w:rFonts w:cstheme="minorHAnsi"/>
          <w:lang w:val="en-GB"/>
        </w:rPr>
      </w:pPr>
    </w:p>
    <w:p w14:paraId="1E50A535" w14:textId="5C9A346C" w:rsidR="00B83642" w:rsidRPr="00053F22" w:rsidRDefault="00CA318F">
      <w:pPr>
        <w:rPr>
          <w:rFonts w:cstheme="minorHAnsi"/>
          <w:lang w:val="en-GB"/>
        </w:rPr>
      </w:pPr>
      <w:proofErr w:type="spellStart"/>
      <w:r w:rsidRPr="00053F22">
        <w:rPr>
          <w:rFonts w:cstheme="minorHAnsi"/>
          <w:lang w:val="en-GB"/>
        </w:rPr>
        <w:t>onal</w:t>
      </w:r>
      <w:proofErr w:type="spellEnd"/>
      <w:r w:rsidRPr="00053F22">
        <w:rPr>
          <w:rFonts w:cstheme="minorHAnsi"/>
          <w:lang w:val="en-GB"/>
        </w:rPr>
        <w:t xml:space="preserve"> data with the Data Processor</w:t>
      </w:r>
      <w:r w:rsidR="002B4E6B" w:rsidRPr="00053F22">
        <w:rPr>
          <w:rFonts w:cstheme="minorHAnsi"/>
          <w:lang w:val="en-GB"/>
        </w:rPr>
        <w:t>.</w:t>
      </w:r>
    </w:p>
    <w:tbl>
      <w:tblPr>
        <w:tblStyle w:val="TableGrid"/>
        <w:tblW w:w="5000" w:type="pct"/>
        <w:tblLayout w:type="fixed"/>
        <w:tblLook w:val="04A0" w:firstRow="1" w:lastRow="0" w:firstColumn="1" w:lastColumn="0" w:noHBand="0" w:noVBand="1"/>
      </w:tblPr>
      <w:tblGrid>
        <w:gridCol w:w="2198"/>
        <w:gridCol w:w="2511"/>
        <w:gridCol w:w="4965"/>
        <w:gridCol w:w="4274"/>
      </w:tblGrid>
      <w:tr w:rsidR="009C2781" w:rsidRPr="00502BC9" w14:paraId="11E72335" w14:textId="5DE6ABD9" w:rsidTr="00A63EA2">
        <w:trPr>
          <w:cantSplit/>
          <w:trHeight w:val="269"/>
        </w:trPr>
        <w:tc>
          <w:tcPr>
            <w:tcW w:w="788" w:type="pct"/>
          </w:tcPr>
          <w:p w14:paraId="16DEA29F" w14:textId="7C08650A" w:rsidR="009C2781" w:rsidRPr="00053F22" w:rsidRDefault="009C2781" w:rsidP="00454A23">
            <w:pPr>
              <w:rPr>
                <w:rStyle w:val="IntenseEmphasis"/>
                <w:lang w:val="en-GB"/>
              </w:rPr>
            </w:pPr>
            <w:r w:rsidRPr="00053F22">
              <w:rPr>
                <w:rStyle w:val="IntenseEmphasis"/>
                <w:lang w:val="en-GB"/>
              </w:rPr>
              <w:t>Data Processor, i.e. a party to whom the processing of personal data has been outsourced</w:t>
            </w:r>
          </w:p>
        </w:tc>
        <w:tc>
          <w:tcPr>
            <w:tcW w:w="900" w:type="pct"/>
          </w:tcPr>
          <w:p w14:paraId="2039F968" w14:textId="3C206493" w:rsidR="009C2781" w:rsidRPr="00053F22" w:rsidRDefault="009C2781" w:rsidP="00454A23">
            <w:pPr>
              <w:rPr>
                <w:rStyle w:val="IntenseEmphasis"/>
                <w:lang w:val="en-GB"/>
              </w:rPr>
            </w:pPr>
            <w:r>
              <w:rPr>
                <w:rStyle w:val="IntenseEmphasis"/>
                <w:lang w:val="en-GB"/>
              </w:rPr>
              <w:t>Purpose of the system/processing act</w:t>
            </w:r>
          </w:p>
        </w:tc>
        <w:tc>
          <w:tcPr>
            <w:tcW w:w="1780" w:type="pct"/>
          </w:tcPr>
          <w:p w14:paraId="7611625C" w14:textId="6D0D9DD2" w:rsidR="009C2781" w:rsidRPr="00053F22" w:rsidRDefault="009C2781" w:rsidP="00454A23">
            <w:pPr>
              <w:rPr>
                <w:rStyle w:val="IntenseEmphasis"/>
                <w:lang w:val="en-GB"/>
              </w:rPr>
            </w:pPr>
            <w:r w:rsidRPr="00053F22">
              <w:rPr>
                <w:rStyle w:val="IntenseEmphasis"/>
                <w:lang w:val="en-GB"/>
              </w:rPr>
              <w:t>Description of the object of agreement (purpose) (general description of the data to be processed</w:t>
            </w:r>
            <w:r>
              <w:rPr>
                <w:rStyle w:val="IntenseEmphasis"/>
                <w:lang w:val="en-GB"/>
              </w:rPr>
              <w:t xml:space="preserve"> </w:t>
            </w:r>
            <w:r w:rsidRPr="009C2781">
              <w:rPr>
                <w:rStyle w:val="IntenseEmphasis"/>
                <w:lang w:val="en-US"/>
              </w:rPr>
              <w:t>by</w:t>
            </w:r>
            <w:r>
              <w:rPr>
                <w:rStyle w:val="IntenseEmphasis"/>
                <w:lang w:val="en-US"/>
              </w:rPr>
              <w:t xml:space="preserve"> the data processor</w:t>
            </w:r>
            <w:r w:rsidRPr="00053F22">
              <w:rPr>
                <w:rStyle w:val="IntenseEmphasis"/>
                <w:lang w:val="en-GB"/>
              </w:rPr>
              <w:t>)</w:t>
            </w:r>
            <w:r w:rsidR="005369DA">
              <w:rPr>
                <w:rStyle w:val="IntenseEmphasis"/>
                <w:lang w:val="en-GB"/>
              </w:rPr>
              <w:t xml:space="preserve">. </w:t>
            </w:r>
          </w:p>
        </w:tc>
        <w:tc>
          <w:tcPr>
            <w:tcW w:w="1532" w:type="pct"/>
          </w:tcPr>
          <w:p w14:paraId="13F750E5" w14:textId="7E19858C" w:rsidR="009C2781" w:rsidRPr="00053F22" w:rsidRDefault="009C2781" w:rsidP="00454A23">
            <w:pPr>
              <w:rPr>
                <w:rStyle w:val="IntenseEmphasis"/>
                <w:lang w:val="en-GB"/>
              </w:rPr>
            </w:pPr>
            <w:r w:rsidRPr="00053F22">
              <w:rPr>
                <w:rStyle w:val="IntenseEmphasis"/>
                <w:lang w:val="en-GB"/>
              </w:rPr>
              <w:t>Whether personal data are transferred outside the EU/EEA area</w:t>
            </w:r>
          </w:p>
        </w:tc>
      </w:tr>
      <w:tr w:rsidR="007433B8" w:rsidRPr="00502BC9" w14:paraId="6614FA29" w14:textId="77777777" w:rsidTr="00A63EA2">
        <w:trPr>
          <w:trHeight w:val="269"/>
        </w:trPr>
        <w:tc>
          <w:tcPr>
            <w:tcW w:w="788" w:type="pct"/>
          </w:tcPr>
          <w:p w14:paraId="6E1536B6" w14:textId="6AA6330C" w:rsidR="007433B8" w:rsidRPr="007433B8" w:rsidRDefault="007433B8" w:rsidP="007433B8">
            <w:pPr>
              <w:pStyle w:val="ListParagraph"/>
              <w:numPr>
                <w:ilvl w:val="0"/>
                <w:numId w:val="18"/>
              </w:numPr>
              <w:spacing w:after="160" w:line="259" w:lineRule="auto"/>
              <w:rPr>
                <w:lang w:val="en-US"/>
              </w:rPr>
            </w:pPr>
            <w:r w:rsidRPr="00BC363E">
              <w:rPr>
                <w:lang w:val="en-US"/>
              </w:rPr>
              <w:t>Adobe Inc., Adobe System Software Ireland Ltd</w:t>
            </w:r>
          </w:p>
        </w:tc>
        <w:tc>
          <w:tcPr>
            <w:tcW w:w="900" w:type="pct"/>
          </w:tcPr>
          <w:p w14:paraId="3EE0C8AC" w14:textId="1A778075" w:rsidR="007433B8" w:rsidRPr="009C2781" w:rsidRDefault="007433B8" w:rsidP="00454A23">
            <w:pPr>
              <w:rPr>
                <w:lang w:val="en-GB"/>
              </w:rPr>
            </w:pPr>
            <w:r>
              <w:rPr>
                <w:lang w:val="en-US"/>
              </w:rPr>
              <w:t xml:space="preserve">Acrobat Pro, </w:t>
            </w:r>
            <w:r w:rsidRPr="00BC363E">
              <w:rPr>
                <w:lang w:val="en-US"/>
              </w:rPr>
              <w:t>Creative Cloud All Apps</w:t>
            </w:r>
          </w:p>
        </w:tc>
        <w:tc>
          <w:tcPr>
            <w:tcW w:w="1780" w:type="pct"/>
          </w:tcPr>
          <w:p w14:paraId="507F3F55" w14:textId="17164CC1" w:rsidR="007433B8" w:rsidRPr="007433B8" w:rsidRDefault="007433B8" w:rsidP="00454A23">
            <w:pPr>
              <w:rPr>
                <w:lang w:val="en-GB"/>
              </w:rPr>
            </w:pPr>
            <w:r w:rsidRPr="007433B8">
              <w:rPr>
                <w:lang w:val="en-GB"/>
              </w:rPr>
              <w:t xml:space="preserve">Identification and contact data </w:t>
            </w:r>
            <w:r w:rsidR="00502BC9">
              <w:rPr>
                <w:lang w:val="en-GB"/>
              </w:rPr>
              <w:t xml:space="preserve">details, data generated </w:t>
            </w:r>
            <w:proofErr w:type="gramStart"/>
            <w:r w:rsidR="00502BC9">
              <w:rPr>
                <w:lang w:val="en-GB"/>
              </w:rPr>
              <w:t>by the use of</w:t>
            </w:r>
            <w:proofErr w:type="gramEnd"/>
            <w:r w:rsidR="00502BC9">
              <w:rPr>
                <w:lang w:val="en-GB"/>
              </w:rPr>
              <w:t xml:space="preserve"> the system</w:t>
            </w:r>
          </w:p>
        </w:tc>
        <w:tc>
          <w:tcPr>
            <w:tcW w:w="1532" w:type="pct"/>
          </w:tcPr>
          <w:p w14:paraId="3CAD7958" w14:textId="19EA72D8" w:rsidR="007433B8" w:rsidRPr="007433B8" w:rsidRDefault="007433B8" w:rsidP="00BE2ACA">
            <w:pPr>
              <w:rPr>
                <w:lang w:val="en-US"/>
              </w:rPr>
            </w:pPr>
            <w:r w:rsidRPr="00D96296">
              <w:rPr>
                <w:lang w:val="en-US"/>
              </w:rPr>
              <w:t xml:space="preserve">India, Armenia, Australia, Serbia. </w:t>
            </w:r>
            <w:r w:rsidRPr="007433B8">
              <w:rPr>
                <w:lang w:val="en-US"/>
              </w:rPr>
              <w:t xml:space="preserve">Protective measures: </w:t>
            </w:r>
            <w:r w:rsidRPr="007433B8">
              <w:rPr>
                <w:b/>
                <w:bCs/>
                <w:lang w:val="en-US"/>
              </w:rPr>
              <w:t>Standard Contractual Clauses (SCC)</w:t>
            </w:r>
          </w:p>
        </w:tc>
      </w:tr>
      <w:tr w:rsidR="009C2781" w:rsidRPr="00502BC9" w14:paraId="2A107579" w14:textId="53D9AB2C" w:rsidTr="00A63EA2">
        <w:trPr>
          <w:trHeight w:val="269"/>
        </w:trPr>
        <w:tc>
          <w:tcPr>
            <w:tcW w:w="788" w:type="pct"/>
          </w:tcPr>
          <w:p w14:paraId="26AC29FD" w14:textId="52070687" w:rsidR="009C2781" w:rsidRPr="00053F22" w:rsidRDefault="009C2781" w:rsidP="00A3602E">
            <w:pPr>
              <w:pStyle w:val="ListParagraph"/>
              <w:numPr>
                <w:ilvl w:val="0"/>
                <w:numId w:val="18"/>
              </w:numPr>
              <w:rPr>
                <w:lang w:val="en-GB"/>
              </w:rPr>
            </w:pPr>
            <w:proofErr w:type="spellStart"/>
            <w:r w:rsidRPr="00053F22">
              <w:rPr>
                <w:lang w:val="en-GB"/>
              </w:rPr>
              <w:t>Agendium</w:t>
            </w:r>
            <w:proofErr w:type="spellEnd"/>
            <w:r w:rsidRPr="00053F22">
              <w:rPr>
                <w:lang w:val="en-GB"/>
              </w:rPr>
              <w:t xml:space="preserve"> </w:t>
            </w:r>
            <w:r>
              <w:rPr>
                <w:lang w:val="en-GB"/>
              </w:rPr>
              <w:t>Ltd</w:t>
            </w:r>
            <w:r w:rsidRPr="00053F22">
              <w:rPr>
                <w:lang w:val="en-GB"/>
              </w:rPr>
              <w:t>, Digital security model</w:t>
            </w:r>
          </w:p>
        </w:tc>
        <w:tc>
          <w:tcPr>
            <w:tcW w:w="900" w:type="pct"/>
          </w:tcPr>
          <w:p w14:paraId="35D39651" w14:textId="0AE2E3EA" w:rsidR="009C2781" w:rsidRPr="00053F22" w:rsidRDefault="009C2781" w:rsidP="00454A23">
            <w:pPr>
              <w:rPr>
                <w:lang w:val="en-GB"/>
              </w:rPr>
            </w:pPr>
            <w:r w:rsidRPr="009C2781">
              <w:rPr>
                <w:lang w:val="en-GB"/>
              </w:rPr>
              <w:t>Cyberday.ai is our tool for modern information security management and compliance.</w:t>
            </w:r>
          </w:p>
        </w:tc>
        <w:tc>
          <w:tcPr>
            <w:tcW w:w="1780" w:type="pct"/>
          </w:tcPr>
          <w:p w14:paraId="4417655A" w14:textId="77777777" w:rsidR="009C2781" w:rsidRDefault="009C2781" w:rsidP="00454A23">
            <w:pPr>
              <w:rPr>
                <w:lang w:val="en-GB"/>
              </w:rPr>
            </w:pPr>
            <w:r w:rsidRPr="009C2781">
              <w:rPr>
                <w:b/>
                <w:bCs/>
                <w:lang w:val="en-GB"/>
              </w:rPr>
              <w:t>Purposes of processing:</w:t>
            </w:r>
            <w:r w:rsidRPr="00053F22">
              <w:rPr>
                <w:lang w:val="en-GB"/>
              </w:rPr>
              <w:t xml:space="preserve"> the accessibility and integrity of data saved in the service, incl. backup copying and logging, user identification and help in problem situations. </w:t>
            </w:r>
          </w:p>
          <w:p w14:paraId="731E1EAD" w14:textId="77777777" w:rsidR="009C2781" w:rsidRDefault="009C2781" w:rsidP="00454A23">
            <w:pPr>
              <w:rPr>
                <w:lang w:val="en-GB"/>
              </w:rPr>
            </w:pPr>
          </w:p>
          <w:p w14:paraId="113A7F3D" w14:textId="66196085" w:rsidR="009C2781" w:rsidRPr="00053F22" w:rsidRDefault="009C2781" w:rsidP="00454A23">
            <w:pPr>
              <w:rPr>
                <w:lang w:val="en-GB"/>
              </w:rPr>
            </w:pPr>
            <w:r w:rsidRPr="009C2781">
              <w:rPr>
                <w:b/>
                <w:bCs/>
                <w:lang w:val="en-GB"/>
              </w:rPr>
              <w:lastRenderedPageBreak/>
              <w:t>Type of personal data and data subject categories:</w:t>
            </w:r>
            <w:r w:rsidRPr="00053F22">
              <w:rPr>
                <w:lang w:val="en-GB"/>
              </w:rPr>
              <w:t xml:space="preserve"> </w:t>
            </w:r>
            <w:r w:rsidR="00502BC9">
              <w:rPr>
                <w:lang w:val="en-GB"/>
              </w:rPr>
              <w:t>contact information</w:t>
            </w:r>
            <w:r w:rsidRPr="00053F22">
              <w:rPr>
                <w:lang w:val="en-GB"/>
              </w:rPr>
              <w:t xml:space="preserve"> and content saved by the person (saved descriptions, etc.)</w:t>
            </w:r>
            <w:r>
              <w:rPr>
                <w:lang w:val="en-GB"/>
              </w:rPr>
              <w:t>.</w:t>
            </w:r>
          </w:p>
        </w:tc>
        <w:tc>
          <w:tcPr>
            <w:tcW w:w="1532" w:type="pct"/>
          </w:tcPr>
          <w:p w14:paraId="70588497" w14:textId="1E5C755D" w:rsidR="009C2781" w:rsidRPr="00053F22" w:rsidRDefault="009C2781" w:rsidP="00BE2ACA">
            <w:pPr>
              <w:rPr>
                <w:lang w:val="en-GB"/>
              </w:rPr>
            </w:pPr>
            <w:r w:rsidRPr="00053F22">
              <w:rPr>
                <w:lang w:val="en-GB"/>
              </w:rPr>
              <w:lastRenderedPageBreak/>
              <w:t xml:space="preserve">Data can be processed outside the EU/EEA area when using specified subcontractors, but it is not allowed to transfer the data to outside the EU/EEA area for </w:t>
            </w:r>
            <w:r>
              <w:rPr>
                <w:lang w:val="en-GB"/>
              </w:rPr>
              <w:t>storage</w:t>
            </w:r>
            <w:r w:rsidRPr="00053F22">
              <w:rPr>
                <w:lang w:val="en-GB"/>
              </w:rPr>
              <w:t xml:space="preserve">. </w:t>
            </w:r>
          </w:p>
          <w:p w14:paraId="485C3A57" w14:textId="77777777" w:rsidR="009C2781" w:rsidRPr="00053F22" w:rsidRDefault="009C2781" w:rsidP="00BE2ACA">
            <w:pPr>
              <w:rPr>
                <w:lang w:val="en-GB"/>
              </w:rPr>
            </w:pPr>
          </w:p>
          <w:p w14:paraId="0C300A86" w14:textId="62DA88CA" w:rsidR="009C2781" w:rsidRPr="00053F22" w:rsidRDefault="009C2781" w:rsidP="00BE2ACA">
            <w:pPr>
              <w:rPr>
                <w:lang w:val="en-GB"/>
              </w:rPr>
            </w:pPr>
            <w:r w:rsidRPr="00053F22">
              <w:rPr>
                <w:lang w:val="en-GB"/>
              </w:rPr>
              <w:lastRenderedPageBreak/>
              <w:t>Transfers and protective measures: the United States (EU-U.S. Data Privacy Framework registered operators)</w:t>
            </w:r>
            <w:r>
              <w:rPr>
                <w:lang w:val="en-GB"/>
              </w:rPr>
              <w:t>.</w:t>
            </w:r>
          </w:p>
        </w:tc>
      </w:tr>
      <w:tr w:rsidR="00041269" w:rsidRPr="00502BC9" w14:paraId="763C6871" w14:textId="77777777" w:rsidTr="00A63EA2">
        <w:trPr>
          <w:trHeight w:val="269"/>
        </w:trPr>
        <w:tc>
          <w:tcPr>
            <w:tcW w:w="788" w:type="pct"/>
          </w:tcPr>
          <w:p w14:paraId="0ED87A6A" w14:textId="3A9AE7AB" w:rsidR="00041269" w:rsidRPr="00053F22" w:rsidRDefault="00041269" w:rsidP="00A3602E">
            <w:pPr>
              <w:pStyle w:val="ListParagraph"/>
              <w:numPr>
                <w:ilvl w:val="0"/>
                <w:numId w:val="18"/>
              </w:numPr>
              <w:rPr>
                <w:lang w:val="en-GB"/>
              </w:rPr>
            </w:pPr>
            <w:r>
              <w:rPr>
                <w:lang w:val="en-GB"/>
              </w:rPr>
              <w:lastRenderedPageBreak/>
              <w:t>Annie Advisor</w:t>
            </w:r>
          </w:p>
        </w:tc>
        <w:tc>
          <w:tcPr>
            <w:tcW w:w="900" w:type="pct"/>
          </w:tcPr>
          <w:p w14:paraId="70701C5F" w14:textId="77777777" w:rsidR="00041269" w:rsidRPr="00D21227" w:rsidRDefault="00041269" w:rsidP="00041269">
            <w:pPr>
              <w:rPr>
                <w:lang w:val="fr-FR"/>
              </w:rPr>
            </w:pPr>
            <w:proofErr w:type="spellStart"/>
            <w:r w:rsidRPr="00D21227">
              <w:rPr>
                <w:lang w:val="fr-FR"/>
              </w:rPr>
              <w:t>Student</w:t>
            </w:r>
            <w:proofErr w:type="spellEnd"/>
            <w:r w:rsidRPr="00D21227">
              <w:rPr>
                <w:lang w:val="fr-FR"/>
              </w:rPr>
              <w:t xml:space="preserve"> support bot Annie</w:t>
            </w:r>
          </w:p>
          <w:p w14:paraId="21DCFB8B" w14:textId="77777777" w:rsidR="00041269" w:rsidRPr="009C2781" w:rsidRDefault="00041269" w:rsidP="00454A23">
            <w:pPr>
              <w:rPr>
                <w:lang w:val="en-GB"/>
              </w:rPr>
            </w:pPr>
          </w:p>
        </w:tc>
        <w:tc>
          <w:tcPr>
            <w:tcW w:w="1780" w:type="pct"/>
          </w:tcPr>
          <w:p w14:paraId="0F5C7482" w14:textId="237FFBD1" w:rsidR="00041269" w:rsidRDefault="00041269" w:rsidP="00041269">
            <w:pPr>
              <w:rPr>
                <w:lang w:val="en-US"/>
              </w:rPr>
            </w:pPr>
            <w:r w:rsidRPr="00D21227">
              <w:rPr>
                <w:lang w:val="en-US"/>
              </w:rPr>
              <w:t xml:space="preserve">The Annie support </w:t>
            </w:r>
            <w:proofErr w:type="gramStart"/>
            <w:r w:rsidRPr="00D21227">
              <w:rPr>
                <w:lang w:val="en-US"/>
              </w:rPr>
              <w:t>bot</w:t>
            </w:r>
            <w:proofErr w:type="gramEnd"/>
            <w:r w:rsidRPr="00D21227">
              <w:rPr>
                <w:lang w:val="en-US"/>
              </w:rPr>
              <w:t xml:space="preserve"> proactively contacts students via text </w:t>
            </w:r>
            <w:r>
              <w:rPr>
                <w:lang w:val="en-US"/>
              </w:rPr>
              <w:t>(</w:t>
            </w:r>
            <w:r w:rsidRPr="00D21227">
              <w:rPr>
                <w:lang w:val="en-US"/>
              </w:rPr>
              <w:t>or instan</w:t>
            </w:r>
            <w:r>
              <w:rPr>
                <w:lang w:val="en-US"/>
              </w:rPr>
              <w:t>t)</w:t>
            </w:r>
            <w:r w:rsidRPr="00D21227">
              <w:rPr>
                <w:lang w:val="en-US"/>
              </w:rPr>
              <w:t xml:space="preserve"> message and offers them support. The personal data processed for students includes contact details, study information (e.g., degree, start date), communications with the service, and any support needs they have reported. The personal data processed for staff members includes contact details, job title/role, and communications with the service.</w:t>
            </w:r>
          </w:p>
          <w:p w14:paraId="0D505C13" w14:textId="77777777" w:rsidR="00041269" w:rsidRDefault="00041269" w:rsidP="00041269">
            <w:pPr>
              <w:rPr>
                <w:lang w:val="en-US"/>
              </w:rPr>
            </w:pPr>
          </w:p>
          <w:p w14:paraId="1B46454A" w14:textId="61AEA411" w:rsidR="00041269" w:rsidRPr="00D21227" w:rsidRDefault="00041269" w:rsidP="00041269">
            <w:pPr>
              <w:spacing w:after="160" w:line="278" w:lineRule="auto"/>
              <w:rPr>
                <w:lang w:val="en-US"/>
              </w:rPr>
            </w:pPr>
            <w:r w:rsidRPr="00D21227">
              <w:rPr>
                <w:lang w:val="en-US"/>
              </w:rPr>
              <w:t>Personal data provided by the customer will be anonymized automatically in accordance with the procedure agreed with the customer</w:t>
            </w:r>
            <w:r w:rsidR="00502BC9">
              <w:rPr>
                <w:lang w:val="en-US"/>
              </w:rPr>
              <w:t>.</w:t>
            </w:r>
          </w:p>
          <w:p w14:paraId="35AABE77" w14:textId="77777777" w:rsidR="00041269" w:rsidRPr="00041269" w:rsidRDefault="00041269" w:rsidP="00454A23">
            <w:pPr>
              <w:rPr>
                <w:b/>
                <w:bCs/>
                <w:lang w:val="en-US"/>
              </w:rPr>
            </w:pPr>
          </w:p>
        </w:tc>
        <w:tc>
          <w:tcPr>
            <w:tcW w:w="1532" w:type="pct"/>
          </w:tcPr>
          <w:p w14:paraId="5EE90AA9" w14:textId="77777777" w:rsidR="00041269" w:rsidRDefault="00041269" w:rsidP="00041269">
            <w:pPr>
              <w:rPr>
                <w:lang w:val="en-US"/>
              </w:rPr>
            </w:pPr>
            <w:r>
              <w:rPr>
                <w:lang w:val="en-US"/>
              </w:rPr>
              <w:t>No data transfers (JYU does not use instant messages or OpenAI).</w:t>
            </w:r>
          </w:p>
          <w:p w14:paraId="7259B332" w14:textId="77777777" w:rsidR="00041269" w:rsidRPr="00041269" w:rsidRDefault="00041269" w:rsidP="00BE2ACA">
            <w:pPr>
              <w:rPr>
                <w:lang w:val="en-US"/>
              </w:rPr>
            </w:pPr>
          </w:p>
        </w:tc>
      </w:tr>
      <w:tr w:rsidR="009C2781" w:rsidRPr="00502BC9" w14:paraId="6676C90D" w14:textId="7096526D" w:rsidTr="00A63EA2">
        <w:trPr>
          <w:trHeight w:val="269"/>
        </w:trPr>
        <w:tc>
          <w:tcPr>
            <w:tcW w:w="788" w:type="pct"/>
          </w:tcPr>
          <w:p w14:paraId="6B3E5CB4" w14:textId="0E499305" w:rsidR="009C2781" w:rsidRPr="00053F22" w:rsidRDefault="009C2781" w:rsidP="00A3602E">
            <w:pPr>
              <w:pStyle w:val="ListParagraph"/>
              <w:numPr>
                <w:ilvl w:val="0"/>
                <w:numId w:val="18"/>
              </w:numPr>
              <w:rPr>
                <w:lang w:val="en-GB"/>
              </w:rPr>
            </w:pPr>
            <w:r w:rsidRPr="00053F22">
              <w:rPr>
                <w:highlight w:val="green"/>
                <w:lang w:val="en-GB"/>
              </w:rPr>
              <w:t>ATLAS.ti</w:t>
            </w:r>
            <w:r w:rsidRPr="00053F22">
              <w:rPr>
                <w:lang w:val="en-GB"/>
              </w:rPr>
              <w:t xml:space="preserve"> Scientific Software Development GmbH </w:t>
            </w:r>
          </w:p>
        </w:tc>
        <w:tc>
          <w:tcPr>
            <w:tcW w:w="900" w:type="pct"/>
          </w:tcPr>
          <w:p w14:paraId="08F9F6BD" w14:textId="00FE8D63" w:rsidR="009C2781" w:rsidRPr="00053F22" w:rsidRDefault="009C2781" w:rsidP="00454A23">
            <w:pPr>
              <w:rPr>
                <w:lang w:val="en-GB"/>
              </w:rPr>
            </w:pPr>
            <w:r>
              <w:rPr>
                <w:lang w:val="en-GB"/>
              </w:rPr>
              <w:t>R</w:t>
            </w:r>
            <w:r w:rsidRPr="00053F22">
              <w:rPr>
                <w:lang w:val="en-GB"/>
              </w:rPr>
              <w:t xml:space="preserve">esearch </w:t>
            </w:r>
          </w:p>
        </w:tc>
        <w:tc>
          <w:tcPr>
            <w:tcW w:w="1780" w:type="pct"/>
          </w:tcPr>
          <w:p w14:paraId="527744EC" w14:textId="64E9B762" w:rsidR="009C2781" w:rsidRPr="00053F22" w:rsidRDefault="009C2781" w:rsidP="00454A23">
            <w:pPr>
              <w:rPr>
                <w:lang w:val="en-GB"/>
              </w:rPr>
            </w:pPr>
            <w:r>
              <w:rPr>
                <w:lang w:val="en-GB"/>
              </w:rPr>
              <w:t>An i</w:t>
            </w:r>
            <w:r w:rsidRPr="00053F22">
              <w:rPr>
                <w:lang w:val="en-GB"/>
              </w:rPr>
              <w:t>nstrument for qualitative studies or qualitative data analysis. Used in scientific research.</w:t>
            </w:r>
            <w:r>
              <w:rPr>
                <w:lang w:val="en-GB"/>
              </w:rPr>
              <w:t xml:space="preserve"> Only the use of the d</w:t>
            </w:r>
            <w:r w:rsidRPr="002B4D8D">
              <w:rPr>
                <w:lang w:val="en-GB"/>
              </w:rPr>
              <w:t>esktop application</w:t>
            </w:r>
            <w:r>
              <w:rPr>
                <w:lang w:val="en-GB"/>
              </w:rPr>
              <w:t xml:space="preserve"> is allowed, and</w:t>
            </w:r>
            <w:r w:rsidRPr="002B4D8D">
              <w:rPr>
                <w:lang w:val="en-GB"/>
              </w:rPr>
              <w:t xml:space="preserve"> files may not be uploaded to the </w:t>
            </w:r>
            <w:proofErr w:type="spellStart"/>
            <w:r w:rsidRPr="002B4D8D">
              <w:rPr>
                <w:lang w:val="en-GB"/>
              </w:rPr>
              <w:t>Atlas</w:t>
            </w:r>
            <w:r>
              <w:rPr>
                <w:lang w:val="en-GB"/>
              </w:rPr>
              <w:t>.ti</w:t>
            </w:r>
            <w:proofErr w:type="spellEnd"/>
            <w:r w:rsidRPr="002B4D8D">
              <w:rPr>
                <w:lang w:val="en-GB"/>
              </w:rPr>
              <w:t xml:space="preserve"> cloud.</w:t>
            </w:r>
          </w:p>
          <w:p w14:paraId="449C025A" w14:textId="77777777" w:rsidR="009C2781" w:rsidRPr="00053F22" w:rsidRDefault="009C2781" w:rsidP="00454A23">
            <w:pPr>
              <w:rPr>
                <w:lang w:val="en-GB"/>
              </w:rPr>
            </w:pPr>
          </w:p>
        </w:tc>
        <w:tc>
          <w:tcPr>
            <w:tcW w:w="1532" w:type="pct"/>
          </w:tcPr>
          <w:p w14:paraId="2E86EE87" w14:textId="1C7F6797" w:rsidR="009C2781" w:rsidRPr="00053F22" w:rsidRDefault="009C2781" w:rsidP="00D11265">
            <w:pPr>
              <w:rPr>
                <w:lang w:val="en-GB"/>
              </w:rPr>
            </w:pPr>
            <w:r>
              <w:rPr>
                <w:lang w:val="en-GB"/>
              </w:rPr>
              <w:t>Data is not transferred (desktop application).</w:t>
            </w:r>
            <w:r w:rsidRPr="00053F22">
              <w:rPr>
                <w:lang w:val="en-GB"/>
              </w:rPr>
              <w:t xml:space="preserve"> </w:t>
            </w:r>
            <w:r w:rsidRPr="00053F22">
              <w:rPr>
                <w:rFonts w:ascii="Arial" w:hAnsi="Arial" w:cs="Arial"/>
                <w:lang w:val="en-GB"/>
              </w:rPr>
              <w:br/>
            </w:r>
          </w:p>
          <w:p w14:paraId="301310C3" w14:textId="09796EDD" w:rsidR="009C2781" w:rsidRPr="00053F22" w:rsidRDefault="009C2781" w:rsidP="00454A23">
            <w:pPr>
              <w:rPr>
                <w:lang w:val="en-GB"/>
              </w:rPr>
            </w:pPr>
          </w:p>
        </w:tc>
      </w:tr>
      <w:tr w:rsidR="009C2781" w:rsidRPr="00502BC9" w14:paraId="227A97CE" w14:textId="5E2A0B68" w:rsidTr="00A63EA2">
        <w:trPr>
          <w:trHeight w:val="269"/>
        </w:trPr>
        <w:tc>
          <w:tcPr>
            <w:tcW w:w="788" w:type="pct"/>
          </w:tcPr>
          <w:p w14:paraId="45762685" w14:textId="740A1A93" w:rsidR="009C2781" w:rsidRPr="00053F22" w:rsidRDefault="009C2781" w:rsidP="00A3602E">
            <w:pPr>
              <w:pStyle w:val="ListParagraph"/>
              <w:numPr>
                <w:ilvl w:val="0"/>
                <w:numId w:val="18"/>
              </w:numPr>
              <w:rPr>
                <w:lang w:val="en-GB"/>
              </w:rPr>
            </w:pPr>
            <w:proofErr w:type="spellStart"/>
            <w:r w:rsidRPr="00053F22">
              <w:rPr>
                <w:lang w:val="en-GB"/>
              </w:rPr>
              <w:t>Atomi</w:t>
            </w:r>
            <w:proofErr w:type="spellEnd"/>
            <w:r w:rsidRPr="00053F22">
              <w:rPr>
                <w:lang w:val="en-GB"/>
              </w:rPr>
              <w:t xml:space="preserve">, </w:t>
            </w:r>
            <w:proofErr w:type="spellStart"/>
            <w:r w:rsidRPr="00053F22">
              <w:rPr>
                <w:lang w:val="en-GB"/>
              </w:rPr>
              <w:t>Studyo</w:t>
            </w:r>
            <w:proofErr w:type="spellEnd"/>
            <w:r w:rsidRPr="00053F22">
              <w:rPr>
                <w:lang w:val="en-GB"/>
              </w:rPr>
              <w:t xml:space="preserve"> Oy</w:t>
            </w:r>
          </w:p>
        </w:tc>
        <w:tc>
          <w:tcPr>
            <w:tcW w:w="900" w:type="pct"/>
          </w:tcPr>
          <w:p w14:paraId="60B08F43" w14:textId="430E011B" w:rsidR="009C2781" w:rsidRPr="00053F22" w:rsidRDefault="009C2781" w:rsidP="00454A23">
            <w:pPr>
              <w:rPr>
                <w:lang w:val="en-GB"/>
              </w:rPr>
            </w:pPr>
            <w:r>
              <w:rPr>
                <w:lang w:val="en-GB"/>
              </w:rPr>
              <w:t>Student administration</w:t>
            </w:r>
          </w:p>
        </w:tc>
        <w:tc>
          <w:tcPr>
            <w:tcW w:w="1780" w:type="pct"/>
          </w:tcPr>
          <w:p w14:paraId="6DB35458" w14:textId="77777777" w:rsidR="00490839" w:rsidRDefault="00490839" w:rsidP="00454A23">
            <w:pPr>
              <w:rPr>
                <w:lang w:val="en-GB"/>
              </w:rPr>
            </w:pPr>
            <w:r w:rsidRPr="00490839">
              <w:rPr>
                <w:b/>
                <w:bCs/>
                <w:lang w:val="en-GB"/>
              </w:rPr>
              <w:t>Purpose of processing:</w:t>
            </w:r>
            <w:r>
              <w:rPr>
                <w:lang w:val="en-GB"/>
              </w:rPr>
              <w:t xml:space="preserve"> </w:t>
            </w:r>
            <w:r w:rsidR="009C2781" w:rsidRPr="00053F22">
              <w:rPr>
                <w:lang w:val="en-GB"/>
              </w:rPr>
              <w:t>Electronic qualification certificates</w:t>
            </w:r>
            <w:r>
              <w:rPr>
                <w:lang w:val="en-GB"/>
              </w:rPr>
              <w:t xml:space="preserve"> for students</w:t>
            </w:r>
            <w:r w:rsidR="009C2781" w:rsidRPr="00053F22">
              <w:rPr>
                <w:lang w:val="en-GB"/>
              </w:rPr>
              <w:t xml:space="preserve">. </w:t>
            </w:r>
          </w:p>
          <w:p w14:paraId="7074DA19" w14:textId="114AA3BA" w:rsidR="009C2781" w:rsidRPr="00053F22" w:rsidRDefault="00490839" w:rsidP="00454A23">
            <w:pPr>
              <w:rPr>
                <w:lang w:val="en-GB"/>
              </w:rPr>
            </w:pPr>
            <w:r w:rsidRPr="009C2781">
              <w:rPr>
                <w:b/>
                <w:bCs/>
                <w:lang w:val="en-GB"/>
              </w:rPr>
              <w:t>Type of personal data and data subject categories:</w:t>
            </w:r>
            <w:r w:rsidRPr="00053F22">
              <w:rPr>
                <w:lang w:val="en-GB"/>
              </w:rPr>
              <w:t xml:space="preserve"> </w:t>
            </w:r>
            <w:r w:rsidR="00E9538A">
              <w:rPr>
                <w:lang w:val="en-GB"/>
              </w:rPr>
              <w:t>e</w:t>
            </w:r>
            <w:r>
              <w:rPr>
                <w:lang w:val="en-GB"/>
              </w:rPr>
              <w:t>mployees: c</w:t>
            </w:r>
            <w:r w:rsidR="009C2781" w:rsidRPr="00053F22">
              <w:rPr>
                <w:lang w:val="en-GB"/>
              </w:rPr>
              <w:t>ontact information</w:t>
            </w:r>
            <w:r>
              <w:rPr>
                <w:lang w:val="en-GB"/>
              </w:rPr>
              <w:t xml:space="preserve">. Students: </w:t>
            </w:r>
            <w:r w:rsidR="009C2781" w:rsidRPr="00053F22">
              <w:rPr>
                <w:lang w:val="en-GB"/>
              </w:rPr>
              <w:t>personal identification data and certificate data.</w:t>
            </w:r>
          </w:p>
        </w:tc>
        <w:tc>
          <w:tcPr>
            <w:tcW w:w="1532" w:type="pct"/>
          </w:tcPr>
          <w:p w14:paraId="4DDFEC57" w14:textId="3838662F" w:rsidR="009C2781" w:rsidRPr="00053F22" w:rsidRDefault="009C2781" w:rsidP="00D11265">
            <w:pPr>
              <w:rPr>
                <w:lang w:val="en-GB"/>
              </w:rPr>
            </w:pPr>
            <w:r w:rsidRPr="00053F22">
              <w:rPr>
                <w:lang w:val="en-GB"/>
              </w:rPr>
              <w:t xml:space="preserve">The data </w:t>
            </w:r>
            <w:r w:rsidR="00490839" w:rsidRPr="00053F22">
              <w:rPr>
                <w:lang w:val="en-GB"/>
              </w:rPr>
              <w:t>are in</w:t>
            </w:r>
            <w:r w:rsidRPr="00053F22">
              <w:rPr>
                <w:lang w:val="en-GB"/>
              </w:rPr>
              <w:t xml:space="preserve"> Google Data </w:t>
            </w:r>
            <w:r w:rsidR="00490839" w:rsidRPr="00053F22">
              <w:rPr>
                <w:lang w:val="en-GB"/>
              </w:rPr>
              <w:t>Centre</w:t>
            </w:r>
            <w:r w:rsidRPr="00053F22">
              <w:rPr>
                <w:lang w:val="en-GB"/>
              </w:rPr>
              <w:t xml:space="preserve"> in Hamina. Basis for transfer for the United States EU-US Data Privacy Framework</w:t>
            </w:r>
            <w:r w:rsidR="00490839">
              <w:rPr>
                <w:lang w:val="en-GB"/>
              </w:rPr>
              <w:t xml:space="preserve"> (Google has access to data in their data centre)</w:t>
            </w:r>
            <w:r w:rsidRPr="00053F22">
              <w:rPr>
                <w:lang w:val="en-GB"/>
              </w:rPr>
              <w:t xml:space="preserve">. </w:t>
            </w:r>
          </w:p>
        </w:tc>
      </w:tr>
      <w:tr w:rsidR="009C2781" w:rsidRPr="00053F22" w14:paraId="5E2DE933" w14:textId="5EE8CF55" w:rsidTr="00A63EA2">
        <w:trPr>
          <w:trHeight w:val="269"/>
        </w:trPr>
        <w:tc>
          <w:tcPr>
            <w:tcW w:w="788" w:type="pct"/>
          </w:tcPr>
          <w:p w14:paraId="7DD09FFA" w14:textId="77777777" w:rsidR="009C2781" w:rsidRPr="00053F22" w:rsidRDefault="009C2781" w:rsidP="00A3602E">
            <w:pPr>
              <w:pStyle w:val="ListParagraph"/>
              <w:numPr>
                <w:ilvl w:val="0"/>
                <w:numId w:val="18"/>
              </w:numPr>
              <w:rPr>
                <w:lang w:val="en-GB"/>
              </w:rPr>
            </w:pPr>
            <w:r w:rsidRPr="00053F22">
              <w:rPr>
                <w:lang w:val="en-GB"/>
              </w:rPr>
              <w:t>ATOP/</w:t>
            </w:r>
            <w:proofErr w:type="spellStart"/>
            <w:r w:rsidRPr="00053F22">
              <w:rPr>
                <w:lang w:val="en-GB"/>
              </w:rPr>
              <w:t>ATOPflow</w:t>
            </w:r>
            <w:proofErr w:type="spellEnd"/>
            <w:r w:rsidRPr="00053F22">
              <w:rPr>
                <w:lang w:val="en-GB"/>
              </w:rPr>
              <w:t>, ATOP-Tieto Oy</w:t>
            </w:r>
          </w:p>
        </w:tc>
        <w:tc>
          <w:tcPr>
            <w:tcW w:w="900" w:type="pct"/>
          </w:tcPr>
          <w:p w14:paraId="30336A98" w14:textId="4AF23D19" w:rsidR="009C2781" w:rsidRPr="00053F22" w:rsidRDefault="00490839" w:rsidP="00454A23">
            <w:pPr>
              <w:rPr>
                <w:lang w:val="en-GB"/>
              </w:rPr>
            </w:pPr>
            <w:r>
              <w:rPr>
                <w:lang w:val="en-GB"/>
              </w:rPr>
              <w:t>Quality control for cleaning</w:t>
            </w:r>
          </w:p>
        </w:tc>
        <w:tc>
          <w:tcPr>
            <w:tcW w:w="1780" w:type="pct"/>
          </w:tcPr>
          <w:p w14:paraId="4796269E" w14:textId="4BE20543" w:rsidR="009C2781" w:rsidRPr="00053F22" w:rsidRDefault="00490839" w:rsidP="00454A23">
            <w:pPr>
              <w:rPr>
                <w:lang w:val="en-GB"/>
              </w:rPr>
            </w:pPr>
            <w:r w:rsidRPr="00490839">
              <w:rPr>
                <w:b/>
                <w:bCs/>
                <w:lang w:val="en-GB"/>
              </w:rPr>
              <w:t>Purpose of processing:</w:t>
            </w:r>
            <w:r>
              <w:rPr>
                <w:lang w:val="en-GB"/>
              </w:rPr>
              <w:t xml:space="preserve"> </w:t>
            </w:r>
            <w:r w:rsidR="00E9538A">
              <w:rPr>
                <w:lang w:val="en-GB"/>
              </w:rPr>
              <w:t>q</w:t>
            </w:r>
            <w:r w:rsidR="009C2781" w:rsidRPr="00053F22">
              <w:rPr>
                <w:lang w:val="en-GB"/>
              </w:rPr>
              <w:t xml:space="preserve">uality control software for cleaning. </w:t>
            </w:r>
            <w:r w:rsidRPr="009C2781">
              <w:rPr>
                <w:b/>
                <w:bCs/>
                <w:lang w:val="en-GB"/>
              </w:rPr>
              <w:t>Type of personal data and data subject categories:</w:t>
            </w:r>
            <w:r w:rsidRPr="00053F22">
              <w:rPr>
                <w:lang w:val="en-GB"/>
              </w:rPr>
              <w:t xml:space="preserve"> </w:t>
            </w:r>
            <w:r>
              <w:rPr>
                <w:lang w:val="en-GB"/>
              </w:rPr>
              <w:t>Employees: c</w:t>
            </w:r>
            <w:r w:rsidR="009C2781" w:rsidRPr="00053F22">
              <w:rPr>
                <w:lang w:val="en-GB"/>
              </w:rPr>
              <w:t>ontact information, user data, log data.</w:t>
            </w:r>
          </w:p>
        </w:tc>
        <w:tc>
          <w:tcPr>
            <w:tcW w:w="1532" w:type="pct"/>
          </w:tcPr>
          <w:p w14:paraId="66544B58" w14:textId="7E078BA6" w:rsidR="009C2781" w:rsidRPr="00053F22" w:rsidRDefault="009C2781" w:rsidP="00454A23">
            <w:pPr>
              <w:rPr>
                <w:lang w:val="en-GB"/>
              </w:rPr>
            </w:pPr>
            <w:r w:rsidRPr="00053F22">
              <w:rPr>
                <w:lang w:val="en-GB"/>
              </w:rPr>
              <w:t>Not transferred.</w:t>
            </w:r>
          </w:p>
          <w:p w14:paraId="4ADB67E7" w14:textId="77777777" w:rsidR="009C2781" w:rsidRPr="00053F22" w:rsidRDefault="009C2781" w:rsidP="00454A23">
            <w:pPr>
              <w:rPr>
                <w:lang w:val="en-GB"/>
              </w:rPr>
            </w:pPr>
          </w:p>
        </w:tc>
      </w:tr>
      <w:tr w:rsidR="009C2781" w:rsidRPr="00053F22" w14:paraId="4E6C911A" w14:textId="186371DA" w:rsidTr="00A63EA2">
        <w:trPr>
          <w:trHeight w:val="269"/>
        </w:trPr>
        <w:tc>
          <w:tcPr>
            <w:tcW w:w="788" w:type="pct"/>
          </w:tcPr>
          <w:p w14:paraId="4292A1CD" w14:textId="1877EA16" w:rsidR="009C2781" w:rsidRPr="00053F22" w:rsidRDefault="009C2781" w:rsidP="00A3602E">
            <w:pPr>
              <w:pStyle w:val="ListParagraph"/>
              <w:numPr>
                <w:ilvl w:val="0"/>
                <w:numId w:val="18"/>
              </w:numPr>
              <w:rPr>
                <w:lang w:val="en-GB"/>
              </w:rPr>
            </w:pPr>
            <w:r w:rsidRPr="00053F22">
              <w:rPr>
                <w:lang w:val="en-GB"/>
              </w:rPr>
              <w:lastRenderedPageBreak/>
              <w:t>Asio, Asio-Data</w:t>
            </w:r>
            <w:r w:rsidR="00490839">
              <w:rPr>
                <w:lang w:val="en-GB"/>
              </w:rPr>
              <w:t>-Oy</w:t>
            </w:r>
          </w:p>
        </w:tc>
        <w:tc>
          <w:tcPr>
            <w:tcW w:w="900" w:type="pct"/>
          </w:tcPr>
          <w:p w14:paraId="0E561888" w14:textId="2C80B018" w:rsidR="009C2781" w:rsidRPr="00053F22" w:rsidRDefault="009C2781" w:rsidP="00454A23">
            <w:pPr>
              <w:rPr>
                <w:lang w:val="en-GB"/>
              </w:rPr>
            </w:pPr>
            <w:r w:rsidRPr="00053F22">
              <w:rPr>
                <w:lang w:val="en-GB"/>
              </w:rPr>
              <w:t>Accommodation bookings (Konnevesi) or workspace bookings for JYU facilities</w:t>
            </w:r>
          </w:p>
        </w:tc>
        <w:tc>
          <w:tcPr>
            <w:tcW w:w="1780" w:type="pct"/>
          </w:tcPr>
          <w:p w14:paraId="251B22EF" w14:textId="43F32D45" w:rsidR="009C2781" w:rsidRDefault="00490839" w:rsidP="00454A23">
            <w:pPr>
              <w:rPr>
                <w:rFonts w:ascii="Calibri" w:hAnsi="Calibri" w:cs="Calibri"/>
                <w:color w:val="444444"/>
                <w:shd w:val="clear" w:color="auto" w:fill="FFFFFF"/>
                <w:lang w:val="en-GB"/>
              </w:rPr>
            </w:pPr>
            <w:r w:rsidRPr="00490839">
              <w:rPr>
                <w:b/>
                <w:bCs/>
                <w:lang w:val="en-GB"/>
              </w:rPr>
              <w:t>Purpose of processing</w:t>
            </w:r>
            <w:r>
              <w:rPr>
                <w:b/>
                <w:bCs/>
                <w:lang w:val="en-GB"/>
              </w:rPr>
              <w:t xml:space="preserve">: </w:t>
            </w:r>
            <w:r w:rsidR="009C2781" w:rsidRPr="00053F22">
              <w:rPr>
                <w:rFonts w:ascii="Calibri" w:hAnsi="Calibri" w:cs="Calibri"/>
                <w:color w:val="444444"/>
                <w:shd w:val="clear" w:color="auto" w:fill="FFFFFF"/>
                <w:lang w:val="en-GB"/>
              </w:rPr>
              <w:t>ASIO booking system for research equipment and the (chargeable)</w:t>
            </w:r>
            <w:r>
              <w:rPr>
                <w:rFonts w:ascii="Calibri" w:hAnsi="Calibri" w:cs="Calibri"/>
                <w:color w:val="444444"/>
                <w:shd w:val="clear" w:color="auto" w:fill="FFFFFF"/>
                <w:lang w:val="en-GB"/>
              </w:rPr>
              <w:t xml:space="preserve"> </w:t>
            </w:r>
            <w:r w:rsidR="009C2781" w:rsidRPr="00053F22">
              <w:rPr>
                <w:rFonts w:ascii="Calibri" w:hAnsi="Calibri" w:cs="Calibri"/>
                <w:color w:val="444444"/>
                <w:shd w:val="clear" w:color="auto" w:fill="FFFFFF"/>
                <w:lang w:val="en-GB"/>
              </w:rPr>
              <w:t>accommodation services of Konnevesi Research Station. In addition, the University uses Asio for workspace bookings. Workspaces can be booked by employees and grant researchers.</w:t>
            </w:r>
          </w:p>
          <w:p w14:paraId="389557B0" w14:textId="77777777" w:rsidR="00490839" w:rsidRDefault="00490839" w:rsidP="00454A23">
            <w:pPr>
              <w:rPr>
                <w:rFonts w:ascii="Calibri" w:hAnsi="Calibri" w:cs="Calibri"/>
                <w:color w:val="444444"/>
                <w:shd w:val="clear" w:color="auto" w:fill="FFFFFF"/>
                <w:lang w:val="en-GB"/>
              </w:rPr>
            </w:pPr>
          </w:p>
          <w:p w14:paraId="17F7D1D4" w14:textId="77A11F10" w:rsidR="00490839" w:rsidRPr="00053F22" w:rsidRDefault="00490839" w:rsidP="00454A23">
            <w:pPr>
              <w:rPr>
                <w:rFonts w:ascii="Calibri" w:hAnsi="Calibri" w:cs="Calibri"/>
                <w:color w:val="444444"/>
                <w:shd w:val="clear" w:color="auto" w:fill="FFFFFF"/>
                <w:lang w:val="en-GB"/>
              </w:rPr>
            </w:pPr>
            <w:r w:rsidRPr="009C2781">
              <w:rPr>
                <w:b/>
                <w:bCs/>
                <w:lang w:val="en-GB"/>
              </w:rPr>
              <w:t>Type of personal data and data subject categories:</w:t>
            </w:r>
            <w:r w:rsidRPr="00053F22">
              <w:rPr>
                <w:lang w:val="en-GB"/>
              </w:rPr>
              <w:t xml:space="preserve"> </w:t>
            </w:r>
            <w:r w:rsidR="007B7F2D">
              <w:rPr>
                <w:lang w:val="en-GB"/>
              </w:rPr>
              <w:t>contact details</w:t>
            </w:r>
          </w:p>
        </w:tc>
        <w:tc>
          <w:tcPr>
            <w:tcW w:w="1532" w:type="pct"/>
          </w:tcPr>
          <w:p w14:paraId="1939833E" w14:textId="53CA37A9" w:rsidR="009C2781" w:rsidRPr="00053F22" w:rsidRDefault="009C2781" w:rsidP="00454A23">
            <w:pPr>
              <w:rPr>
                <w:lang w:val="en-GB"/>
              </w:rPr>
            </w:pPr>
            <w:r w:rsidRPr="00053F22">
              <w:rPr>
                <w:lang w:val="en-GB"/>
              </w:rPr>
              <w:t>Not transferred.</w:t>
            </w:r>
          </w:p>
        </w:tc>
      </w:tr>
      <w:tr w:rsidR="009C2781" w:rsidRPr="00053F22" w14:paraId="664E5A79" w14:textId="17FC414E" w:rsidTr="00A63EA2">
        <w:trPr>
          <w:trHeight w:val="269"/>
        </w:trPr>
        <w:tc>
          <w:tcPr>
            <w:tcW w:w="788" w:type="pct"/>
          </w:tcPr>
          <w:p w14:paraId="22583307" w14:textId="74D54619" w:rsidR="009C2781" w:rsidRPr="00053F22" w:rsidRDefault="009C2781" w:rsidP="00A3602E">
            <w:pPr>
              <w:pStyle w:val="ListParagraph"/>
              <w:numPr>
                <w:ilvl w:val="0"/>
                <w:numId w:val="18"/>
              </w:numPr>
              <w:rPr>
                <w:lang w:val="en-GB"/>
              </w:rPr>
            </w:pPr>
            <w:r w:rsidRPr="00053F22">
              <w:rPr>
                <w:lang w:val="en-GB"/>
              </w:rPr>
              <w:t xml:space="preserve">BEM, </w:t>
            </w:r>
            <w:proofErr w:type="spellStart"/>
            <w:r w:rsidRPr="00053F22">
              <w:rPr>
                <w:lang w:val="en-GB"/>
              </w:rPr>
              <w:t>Buildercom</w:t>
            </w:r>
            <w:proofErr w:type="spellEnd"/>
            <w:r w:rsidR="00490839">
              <w:rPr>
                <w:lang w:val="en-GB"/>
              </w:rPr>
              <w:t xml:space="preserve"> Ltd.</w:t>
            </w:r>
          </w:p>
        </w:tc>
        <w:tc>
          <w:tcPr>
            <w:tcW w:w="900" w:type="pct"/>
          </w:tcPr>
          <w:p w14:paraId="25613E4B" w14:textId="0F09317B" w:rsidR="009C2781" w:rsidRPr="00053F22" w:rsidRDefault="009C2781" w:rsidP="00454A23">
            <w:pPr>
              <w:rPr>
                <w:lang w:val="en-GB"/>
              </w:rPr>
            </w:pPr>
            <w:r w:rsidRPr="00053F22">
              <w:rPr>
                <w:lang w:val="en-GB"/>
              </w:rPr>
              <w:t>Real estate maintenance</w:t>
            </w:r>
          </w:p>
        </w:tc>
        <w:tc>
          <w:tcPr>
            <w:tcW w:w="1780" w:type="pct"/>
          </w:tcPr>
          <w:p w14:paraId="523AE2BE" w14:textId="4EC21ADD" w:rsidR="00490839" w:rsidRDefault="00490839" w:rsidP="00454A23">
            <w:pPr>
              <w:rPr>
                <w:lang w:val="en-GB"/>
              </w:rPr>
            </w:pPr>
            <w:r w:rsidRPr="00490839">
              <w:rPr>
                <w:b/>
                <w:bCs/>
                <w:lang w:val="en-GB"/>
              </w:rPr>
              <w:t>Purpose of processing</w:t>
            </w:r>
            <w:r>
              <w:rPr>
                <w:b/>
                <w:bCs/>
                <w:lang w:val="en-GB"/>
              </w:rPr>
              <w:t xml:space="preserve">: </w:t>
            </w:r>
            <w:r w:rsidR="009C2781" w:rsidRPr="00053F22">
              <w:rPr>
                <w:lang w:val="en-GB"/>
              </w:rPr>
              <w:t xml:space="preserve">BEM data system service for the management of real estate care and maintenance, facility and device data and maintenance. </w:t>
            </w:r>
          </w:p>
          <w:p w14:paraId="44917384" w14:textId="77777777" w:rsidR="00490839" w:rsidRDefault="00490839" w:rsidP="00454A23">
            <w:pPr>
              <w:rPr>
                <w:lang w:val="en-GB"/>
              </w:rPr>
            </w:pPr>
          </w:p>
          <w:p w14:paraId="2CAA63CB" w14:textId="2CB0AA71" w:rsidR="009C2781" w:rsidRDefault="00490839" w:rsidP="00454A23">
            <w:pPr>
              <w:rPr>
                <w:lang w:val="en-GB"/>
              </w:rPr>
            </w:pPr>
            <w:r w:rsidRPr="009C2781">
              <w:rPr>
                <w:b/>
                <w:bCs/>
                <w:lang w:val="en-GB"/>
              </w:rPr>
              <w:t>Type of personal data and data subject categories:</w:t>
            </w:r>
            <w:r w:rsidRPr="00053F22">
              <w:rPr>
                <w:lang w:val="en-GB"/>
              </w:rPr>
              <w:t xml:space="preserve"> </w:t>
            </w:r>
            <w:r w:rsidRPr="00053F22">
              <w:rPr>
                <w:rFonts w:ascii="Calibri" w:hAnsi="Calibri" w:cs="Calibri"/>
                <w:color w:val="444444"/>
                <w:shd w:val="clear" w:color="auto" w:fill="FFFFFF"/>
                <w:lang w:val="en-GB"/>
              </w:rPr>
              <w:t xml:space="preserve">The </w:t>
            </w:r>
            <w:r w:rsidR="009C2781" w:rsidRPr="00053F22">
              <w:rPr>
                <w:lang w:val="en-GB"/>
              </w:rPr>
              <w:t xml:space="preserve">Service users’ contact information and data on the usage of the service. </w:t>
            </w:r>
          </w:p>
          <w:p w14:paraId="57E51705" w14:textId="77777777" w:rsidR="00490839" w:rsidRPr="00053F22" w:rsidRDefault="00490839" w:rsidP="00454A23">
            <w:pPr>
              <w:rPr>
                <w:lang w:val="en-GB"/>
              </w:rPr>
            </w:pPr>
          </w:p>
          <w:p w14:paraId="1D4ED6D1" w14:textId="68F8852B" w:rsidR="009C2781" w:rsidRPr="00053F22" w:rsidRDefault="009C2781" w:rsidP="00454A23">
            <w:pPr>
              <w:rPr>
                <w:lang w:val="en-GB"/>
              </w:rPr>
            </w:pPr>
            <w:r w:rsidRPr="00053F22">
              <w:rPr>
                <w:lang w:val="en-GB"/>
              </w:rPr>
              <w:t xml:space="preserve">Additional information: </w:t>
            </w:r>
            <w:hyperlink r:id="rId9" w:history="1">
              <w:r w:rsidRPr="00053F22">
                <w:rPr>
                  <w:rStyle w:val="Hyperlink"/>
                  <w:lang w:val="en-GB"/>
                </w:rPr>
                <w:t>BEM data system service— University of Jyväskylä (jyu.fi)</w:t>
              </w:r>
            </w:hyperlink>
            <w:r w:rsidRPr="00053F22">
              <w:rPr>
                <w:lang w:val="en-GB"/>
              </w:rPr>
              <w:t xml:space="preserve"> </w:t>
            </w:r>
          </w:p>
        </w:tc>
        <w:tc>
          <w:tcPr>
            <w:tcW w:w="1532" w:type="pct"/>
          </w:tcPr>
          <w:p w14:paraId="7493D48F" w14:textId="3FDD1027" w:rsidR="009C2781" w:rsidRPr="00053F22" w:rsidRDefault="009C2781" w:rsidP="00454A23">
            <w:pPr>
              <w:rPr>
                <w:lang w:val="en-GB"/>
              </w:rPr>
            </w:pPr>
            <w:r w:rsidRPr="00053F22">
              <w:rPr>
                <w:lang w:val="en-GB"/>
              </w:rPr>
              <w:t>Not transferred.</w:t>
            </w:r>
          </w:p>
        </w:tc>
      </w:tr>
      <w:tr w:rsidR="009C2781" w:rsidRPr="00053F22" w14:paraId="0B6FA924" w14:textId="20D1A83B" w:rsidTr="00A63EA2">
        <w:trPr>
          <w:trHeight w:val="269"/>
        </w:trPr>
        <w:tc>
          <w:tcPr>
            <w:tcW w:w="788" w:type="pct"/>
          </w:tcPr>
          <w:p w14:paraId="66F1BCC8" w14:textId="32117ED7" w:rsidR="009C2781" w:rsidRPr="00E9538A" w:rsidRDefault="009C2781" w:rsidP="00A3602E">
            <w:pPr>
              <w:pStyle w:val="ListParagraph"/>
              <w:numPr>
                <w:ilvl w:val="0"/>
                <w:numId w:val="18"/>
              </w:numPr>
              <w:rPr>
                <w:rFonts w:cstheme="minorHAnsi"/>
                <w:lang w:val="fr-FR"/>
              </w:rPr>
            </w:pPr>
            <w:r w:rsidRPr="00E9538A">
              <w:rPr>
                <w:rFonts w:cstheme="minorHAnsi"/>
                <w:lang w:val="fr-FR"/>
              </w:rPr>
              <w:t xml:space="preserve">Canon, </w:t>
            </w:r>
            <w:r w:rsidR="00E9538A" w:rsidRPr="00E9538A">
              <w:rPr>
                <w:rFonts w:cstheme="minorHAnsi"/>
                <w:color w:val="323232"/>
                <w:shd w:val="clear" w:color="auto" w:fill="FFFFFF"/>
                <w:lang w:val="fr-FR"/>
              </w:rPr>
              <w:t xml:space="preserve">Canon Europa </w:t>
            </w:r>
            <w:proofErr w:type="gramStart"/>
            <w:r w:rsidR="00E9538A" w:rsidRPr="00E9538A">
              <w:rPr>
                <w:rFonts w:cstheme="minorHAnsi"/>
                <w:color w:val="323232"/>
                <w:shd w:val="clear" w:color="auto" w:fill="FFFFFF"/>
                <w:lang w:val="fr-FR"/>
              </w:rPr>
              <w:t>N.V</w:t>
            </w:r>
            <w:proofErr w:type="gramEnd"/>
          </w:p>
        </w:tc>
        <w:tc>
          <w:tcPr>
            <w:tcW w:w="900" w:type="pct"/>
          </w:tcPr>
          <w:p w14:paraId="6B57724D" w14:textId="34B95796" w:rsidR="009C2781" w:rsidRPr="00053F22" w:rsidRDefault="009C2781" w:rsidP="00454A23">
            <w:pPr>
              <w:rPr>
                <w:lang w:val="en-GB"/>
              </w:rPr>
            </w:pPr>
            <w:r w:rsidRPr="00053F22">
              <w:rPr>
                <w:lang w:val="en-GB"/>
              </w:rPr>
              <w:t>Printing management</w:t>
            </w:r>
          </w:p>
        </w:tc>
        <w:tc>
          <w:tcPr>
            <w:tcW w:w="1780" w:type="pct"/>
          </w:tcPr>
          <w:p w14:paraId="1E3A4231" w14:textId="75B0E1C2" w:rsidR="00E9538A" w:rsidRDefault="00E9538A" w:rsidP="00454A23">
            <w:pPr>
              <w:rPr>
                <w:lang w:val="en-GB"/>
              </w:rPr>
            </w:pPr>
            <w:r w:rsidRPr="00490839">
              <w:rPr>
                <w:b/>
                <w:bCs/>
                <w:lang w:val="en-GB"/>
              </w:rPr>
              <w:t>Purpose of processing</w:t>
            </w:r>
            <w:r>
              <w:rPr>
                <w:b/>
                <w:bCs/>
                <w:lang w:val="en-GB"/>
              </w:rPr>
              <w:t>:</w:t>
            </w:r>
            <w:r w:rsidRPr="00053F22">
              <w:rPr>
                <w:lang w:val="en-GB"/>
              </w:rPr>
              <w:t xml:space="preserve"> </w:t>
            </w:r>
            <w:r>
              <w:rPr>
                <w:lang w:val="en-GB"/>
              </w:rPr>
              <w:t>p</w:t>
            </w:r>
            <w:r w:rsidR="009C2781" w:rsidRPr="00053F22">
              <w:rPr>
                <w:lang w:val="en-GB"/>
              </w:rPr>
              <w:t xml:space="preserve">rinting and printing management services, maintenance centre services. </w:t>
            </w:r>
          </w:p>
          <w:p w14:paraId="670C0B61" w14:textId="77777777" w:rsidR="00E9538A" w:rsidRDefault="00E9538A" w:rsidP="00454A23">
            <w:pPr>
              <w:rPr>
                <w:lang w:val="en-GB"/>
              </w:rPr>
            </w:pPr>
          </w:p>
          <w:p w14:paraId="62E422EA" w14:textId="7F91C71C" w:rsidR="009C2781" w:rsidRPr="00053F22" w:rsidRDefault="00E9538A" w:rsidP="00454A23">
            <w:pPr>
              <w:rPr>
                <w:lang w:val="en-GB"/>
              </w:rPr>
            </w:pPr>
            <w:r w:rsidRPr="009C2781">
              <w:rPr>
                <w:b/>
                <w:bCs/>
                <w:lang w:val="en-GB"/>
              </w:rPr>
              <w:t>Type of personal data and data subject categories:</w:t>
            </w:r>
            <w:r w:rsidRPr="00053F22">
              <w:rPr>
                <w:lang w:val="en-GB"/>
              </w:rPr>
              <w:t xml:space="preserve"> </w:t>
            </w:r>
            <w:r>
              <w:rPr>
                <w:lang w:val="en-GB"/>
              </w:rPr>
              <w:t xml:space="preserve">User of university printing services. </w:t>
            </w:r>
          </w:p>
        </w:tc>
        <w:tc>
          <w:tcPr>
            <w:tcW w:w="1532" w:type="pct"/>
          </w:tcPr>
          <w:p w14:paraId="651C582D" w14:textId="017FCE93" w:rsidR="009C2781" w:rsidRPr="00053F22" w:rsidRDefault="009C2781" w:rsidP="00454A23">
            <w:pPr>
              <w:rPr>
                <w:lang w:val="en-GB"/>
              </w:rPr>
            </w:pPr>
            <w:r w:rsidRPr="00053F22">
              <w:rPr>
                <w:lang w:val="en-GB"/>
              </w:rPr>
              <w:t>Not transferred.</w:t>
            </w:r>
          </w:p>
        </w:tc>
      </w:tr>
      <w:tr w:rsidR="009C2781" w:rsidRPr="00053F22" w14:paraId="16A47BC4" w14:textId="0AD31E6E" w:rsidTr="00A63EA2">
        <w:trPr>
          <w:trHeight w:val="269"/>
        </w:trPr>
        <w:tc>
          <w:tcPr>
            <w:tcW w:w="788" w:type="pct"/>
          </w:tcPr>
          <w:p w14:paraId="55B8880B" w14:textId="57A0E447" w:rsidR="009C2781" w:rsidRPr="00053F22" w:rsidRDefault="009C2781" w:rsidP="00A3602E">
            <w:pPr>
              <w:pStyle w:val="ListParagraph"/>
              <w:numPr>
                <w:ilvl w:val="0"/>
                <w:numId w:val="18"/>
              </w:numPr>
              <w:rPr>
                <w:lang w:val="en-GB"/>
              </w:rPr>
            </w:pPr>
            <w:r w:rsidRPr="00053F22">
              <w:rPr>
                <w:lang w:val="en-GB"/>
              </w:rPr>
              <w:t>Certia Oy</w:t>
            </w:r>
            <w:r w:rsidR="00E9538A">
              <w:rPr>
                <w:lang w:val="en-GB"/>
              </w:rPr>
              <w:t>:</w:t>
            </w:r>
            <w:r w:rsidRPr="00053F22">
              <w:rPr>
                <w:lang w:val="en-GB"/>
              </w:rPr>
              <w:t xml:space="preserve"> SAP, BASWARE, MEPCO</w:t>
            </w:r>
            <w:r>
              <w:rPr>
                <w:lang w:val="en-GB"/>
              </w:rPr>
              <w:t>, SAP Cats and</w:t>
            </w:r>
            <w:r w:rsidRPr="00053F22">
              <w:rPr>
                <w:lang w:val="en-GB"/>
              </w:rPr>
              <w:t xml:space="preserve"> Whistleblower </w:t>
            </w:r>
            <w:r>
              <w:rPr>
                <w:lang w:val="en-GB"/>
              </w:rPr>
              <w:t>reporting channel</w:t>
            </w:r>
          </w:p>
        </w:tc>
        <w:tc>
          <w:tcPr>
            <w:tcW w:w="900" w:type="pct"/>
          </w:tcPr>
          <w:p w14:paraId="7A524ADA" w14:textId="4AB85869" w:rsidR="009C2781" w:rsidRPr="00053F22" w:rsidRDefault="009C2781" w:rsidP="00454A23">
            <w:pPr>
              <w:rPr>
                <w:lang w:val="en-GB"/>
              </w:rPr>
            </w:pPr>
            <w:r w:rsidRPr="00053F22">
              <w:rPr>
                <w:lang w:val="en-GB"/>
              </w:rPr>
              <w:t>HR administration systems (HR), Whistleblower channel (Legal Affairs)</w:t>
            </w:r>
          </w:p>
        </w:tc>
        <w:tc>
          <w:tcPr>
            <w:tcW w:w="1780" w:type="pct"/>
          </w:tcPr>
          <w:p w14:paraId="1635F2B2" w14:textId="6D4BADF2" w:rsidR="009C2781" w:rsidRPr="007B7F2D" w:rsidRDefault="009C2781" w:rsidP="00DE096B">
            <w:pPr>
              <w:rPr>
                <w:lang w:val="en-GB"/>
              </w:rPr>
            </w:pPr>
            <w:r w:rsidRPr="00053F22">
              <w:rPr>
                <w:lang w:val="en-GB"/>
              </w:rPr>
              <w:t>Financial administration, HR administration and system services. Personal data and system usage data related to financial and HR administration.</w:t>
            </w:r>
          </w:p>
          <w:p w14:paraId="105C3E70" w14:textId="77777777" w:rsidR="009C2781" w:rsidRPr="00053F22" w:rsidRDefault="009C2781" w:rsidP="00454A23">
            <w:pPr>
              <w:rPr>
                <w:lang w:val="en-GB"/>
              </w:rPr>
            </w:pPr>
          </w:p>
          <w:p w14:paraId="2099B1C9" w14:textId="04A6D1BE" w:rsidR="009C2781" w:rsidRPr="00053F22" w:rsidRDefault="009C2781" w:rsidP="00EF5705">
            <w:pPr>
              <w:rPr>
                <w:lang w:val="en-GB"/>
              </w:rPr>
            </w:pPr>
            <w:r w:rsidRPr="00053F22">
              <w:rPr>
                <w:lang w:val="en-GB"/>
              </w:rPr>
              <w:t>Whistleblowing channel, personal data are processed to detect, investigate and prevent any illegal conduct</w:t>
            </w:r>
            <w:r w:rsidRPr="00053F22">
              <w:rPr>
                <w:shd w:val="clear" w:color="auto" w:fill="FFFFFF"/>
                <w:lang w:val="en-GB"/>
              </w:rPr>
              <w:t xml:space="preserve">. </w:t>
            </w:r>
          </w:p>
          <w:p w14:paraId="2347F027" w14:textId="67A7E057" w:rsidR="009C2781" w:rsidRPr="00053F22" w:rsidRDefault="009C2781" w:rsidP="00454A23">
            <w:pPr>
              <w:rPr>
                <w:lang w:val="en-GB"/>
              </w:rPr>
            </w:pPr>
          </w:p>
        </w:tc>
        <w:tc>
          <w:tcPr>
            <w:tcW w:w="1532" w:type="pct"/>
          </w:tcPr>
          <w:p w14:paraId="19D4E010" w14:textId="57D4250D" w:rsidR="009C2781" w:rsidRPr="00053F22" w:rsidRDefault="009C2781" w:rsidP="00454A23">
            <w:pPr>
              <w:rPr>
                <w:lang w:val="en-GB"/>
              </w:rPr>
            </w:pPr>
            <w:r w:rsidRPr="00053F22">
              <w:rPr>
                <w:lang w:val="en-GB"/>
              </w:rPr>
              <w:t>Not transferred.</w:t>
            </w:r>
          </w:p>
        </w:tc>
      </w:tr>
      <w:tr w:rsidR="009C2781" w:rsidRPr="00502BC9" w14:paraId="36851B4B" w14:textId="0B1B3E86" w:rsidTr="00A63EA2">
        <w:trPr>
          <w:cantSplit/>
          <w:trHeight w:val="269"/>
        </w:trPr>
        <w:tc>
          <w:tcPr>
            <w:tcW w:w="788" w:type="pct"/>
          </w:tcPr>
          <w:p w14:paraId="3F2CB94A" w14:textId="77777777" w:rsidR="009C2781" w:rsidRPr="00053F22" w:rsidRDefault="009C2781" w:rsidP="00A3602E">
            <w:pPr>
              <w:pStyle w:val="ListParagraph"/>
              <w:numPr>
                <w:ilvl w:val="0"/>
                <w:numId w:val="18"/>
              </w:numPr>
              <w:rPr>
                <w:lang w:val="en-GB"/>
              </w:rPr>
            </w:pPr>
            <w:proofErr w:type="spellStart"/>
            <w:r w:rsidRPr="00053F22">
              <w:rPr>
                <w:lang w:val="en-GB"/>
              </w:rPr>
              <w:lastRenderedPageBreak/>
              <w:t>Converis</w:t>
            </w:r>
            <w:proofErr w:type="spellEnd"/>
            <w:r w:rsidRPr="00053F22">
              <w:rPr>
                <w:lang w:val="en-GB"/>
              </w:rPr>
              <w:t>, Clarivate Analytics</w:t>
            </w:r>
          </w:p>
        </w:tc>
        <w:tc>
          <w:tcPr>
            <w:tcW w:w="900" w:type="pct"/>
          </w:tcPr>
          <w:p w14:paraId="43C36ED5" w14:textId="12AAA01F" w:rsidR="009C2781" w:rsidRPr="00053F22" w:rsidRDefault="009C2781" w:rsidP="00454A23">
            <w:pPr>
              <w:rPr>
                <w:lang w:val="en-GB"/>
              </w:rPr>
            </w:pPr>
            <w:r w:rsidRPr="00053F22">
              <w:rPr>
                <w:lang w:val="en-GB"/>
              </w:rPr>
              <w:t xml:space="preserve">Research information management </w:t>
            </w:r>
          </w:p>
        </w:tc>
        <w:tc>
          <w:tcPr>
            <w:tcW w:w="1780" w:type="pct"/>
          </w:tcPr>
          <w:p w14:paraId="31CD105E" w14:textId="7960D4B9" w:rsidR="009C2781" w:rsidRPr="00053F22" w:rsidRDefault="009C2781" w:rsidP="00454A23">
            <w:pPr>
              <w:rPr>
                <w:lang w:val="en-GB"/>
              </w:rPr>
            </w:pPr>
            <w:r w:rsidRPr="00E9538A">
              <w:rPr>
                <w:b/>
                <w:bCs/>
                <w:lang w:val="en-GB"/>
              </w:rPr>
              <w:t>The purpose of the processing of personal data</w:t>
            </w:r>
            <w:r w:rsidRPr="00053F22">
              <w:rPr>
                <w:lang w:val="en-GB"/>
              </w:rPr>
              <w:t xml:space="preserve"> is to display the research activities and expertise of JYU staff and postgraduate students as well as other JYU-affiliated persons, by publicising data related to their research activities and expertise (e.g. for supplementary funding applications and project activities, conducted research, metadata of research data, publications, international mobility, and CVs).</w:t>
            </w:r>
          </w:p>
          <w:p w14:paraId="22F9C0BD" w14:textId="77777777" w:rsidR="009C2781" w:rsidRPr="00053F22" w:rsidRDefault="009C2781" w:rsidP="00454A23">
            <w:pPr>
              <w:rPr>
                <w:lang w:val="en-GB"/>
              </w:rPr>
            </w:pPr>
          </w:p>
        </w:tc>
        <w:tc>
          <w:tcPr>
            <w:tcW w:w="1532" w:type="pct"/>
          </w:tcPr>
          <w:p w14:paraId="6263DD49" w14:textId="6F02B6E7" w:rsidR="009C2781" w:rsidRPr="00053F22" w:rsidRDefault="009C2781" w:rsidP="00454A23">
            <w:pPr>
              <w:rPr>
                <w:lang w:val="en-GB"/>
              </w:rPr>
            </w:pPr>
            <w:r w:rsidRPr="00053F22">
              <w:rPr>
                <w:lang w:val="en-GB"/>
              </w:rPr>
              <w:t xml:space="preserve">Not transferred. A change in the agreement has been negotiated, and Clarivate support has no access to </w:t>
            </w:r>
            <w:r w:rsidR="00E9538A">
              <w:rPr>
                <w:lang w:val="en-GB"/>
              </w:rPr>
              <w:t xml:space="preserve">personal </w:t>
            </w:r>
            <w:r w:rsidRPr="00053F22">
              <w:rPr>
                <w:lang w:val="en-GB"/>
              </w:rPr>
              <w:t xml:space="preserve">data </w:t>
            </w:r>
            <w:proofErr w:type="gramStart"/>
            <w:r w:rsidRPr="00053F22">
              <w:rPr>
                <w:lang w:val="en-GB"/>
              </w:rPr>
              <w:t>in order to</w:t>
            </w:r>
            <w:proofErr w:type="gramEnd"/>
            <w:r w:rsidRPr="00053F22">
              <w:rPr>
                <w:lang w:val="en-GB"/>
              </w:rPr>
              <w:t xml:space="preserve"> sort out technical problems so that data would be transferred outside the EU/EEA area. </w:t>
            </w:r>
          </w:p>
          <w:p w14:paraId="2C2D366D" w14:textId="77777777" w:rsidR="009C2781" w:rsidRPr="00053F22" w:rsidRDefault="009C2781" w:rsidP="00454A23">
            <w:pPr>
              <w:rPr>
                <w:lang w:val="en-GB"/>
              </w:rPr>
            </w:pPr>
          </w:p>
          <w:p w14:paraId="22E140F1" w14:textId="77777777" w:rsidR="009C2781" w:rsidRPr="00053F22" w:rsidRDefault="009C2781" w:rsidP="00670866">
            <w:pPr>
              <w:rPr>
                <w:lang w:val="en-GB"/>
              </w:rPr>
            </w:pPr>
          </w:p>
        </w:tc>
      </w:tr>
      <w:tr w:rsidR="009C2781" w:rsidRPr="00053F22" w14:paraId="2789AAAB" w14:textId="6B060401" w:rsidTr="00A63EA2">
        <w:trPr>
          <w:trHeight w:val="269"/>
        </w:trPr>
        <w:tc>
          <w:tcPr>
            <w:tcW w:w="788" w:type="pct"/>
          </w:tcPr>
          <w:p w14:paraId="2B74D980" w14:textId="0D594D86" w:rsidR="009C2781" w:rsidRPr="00053F22" w:rsidRDefault="009C2781" w:rsidP="00A3602E">
            <w:pPr>
              <w:pStyle w:val="ListParagraph"/>
              <w:numPr>
                <w:ilvl w:val="0"/>
                <w:numId w:val="18"/>
              </w:numPr>
              <w:rPr>
                <w:lang w:val="en-GB"/>
              </w:rPr>
            </w:pPr>
            <w:proofErr w:type="spellStart"/>
            <w:r w:rsidRPr="00053F22">
              <w:rPr>
                <w:highlight w:val="green"/>
                <w:lang w:val="en-GB"/>
              </w:rPr>
              <w:t>CsC</w:t>
            </w:r>
            <w:proofErr w:type="spellEnd"/>
            <w:r w:rsidRPr="00053F22">
              <w:rPr>
                <w:highlight w:val="green"/>
                <w:lang w:val="en-GB"/>
              </w:rPr>
              <w:t xml:space="preserve"> –ICT </w:t>
            </w:r>
            <w:proofErr w:type="spellStart"/>
            <w:r w:rsidRPr="00053F22">
              <w:rPr>
                <w:highlight w:val="green"/>
                <w:lang w:val="en-GB"/>
              </w:rPr>
              <w:t>Center</w:t>
            </w:r>
            <w:proofErr w:type="spellEnd"/>
            <w:r w:rsidRPr="00053F22">
              <w:rPr>
                <w:highlight w:val="green"/>
                <w:lang w:val="en-GB"/>
              </w:rPr>
              <w:t xml:space="preserve"> for Science Ltd</w:t>
            </w:r>
          </w:p>
        </w:tc>
        <w:tc>
          <w:tcPr>
            <w:tcW w:w="900" w:type="pct"/>
          </w:tcPr>
          <w:p w14:paraId="2F2CBA48" w14:textId="313C204C" w:rsidR="009C2781" w:rsidRPr="00053F22" w:rsidRDefault="009C2781" w:rsidP="00454A23">
            <w:pPr>
              <w:rPr>
                <w:lang w:val="en-GB"/>
              </w:rPr>
            </w:pPr>
            <w:r w:rsidRPr="00053F22">
              <w:rPr>
                <w:lang w:val="en-GB"/>
              </w:rPr>
              <w:t>Service production for Research, education and culture</w:t>
            </w:r>
          </w:p>
        </w:tc>
        <w:tc>
          <w:tcPr>
            <w:tcW w:w="1780" w:type="pct"/>
          </w:tcPr>
          <w:p w14:paraId="38AD776E" w14:textId="5C5FCB73" w:rsidR="009C2781" w:rsidRPr="00053F22" w:rsidRDefault="009C2781" w:rsidP="00E0338C">
            <w:pPr>
              <w:rPr>
                <w:rFonts w:cstheme="minorHAnsi"/>
                <w:lang w:val="en-GB"/>
              </w:rPr>
            </w:pPr>
            <w:r w:rsidRPr="00053F22">
              <w:rPr>
                <w:rFonts w:cstheme="minorHAnsi"/>
                <w:lang w:val="en-GB"/>
              </w:rPr>
              <w:t>CSC processes personal data on behalf of JYU as regards the following systems:</w:t>
            </w:r>
          </w:p>
          <w:p w14:paraId="71CB766C" w14:textId="21E39BF6" w:rsidR="009C2781" w:rsidRPr="00053F22" w:rsidRDefault="009C2781" w:rsidP="00E0338C">
            <w:pPr>
              <w:rPr>
                <w:rFonts w:cstheme="minorHAnsi"/>
                <w:lang w:val="en-GB"/>
              </w:rPr>
            </w:pPr>
            <w:r w:rsidRPr="00053F22">
              <w:rPr>
                <w:rFonts w:cstheme="minorHAnsi"/>
                <w:b/>
                <w:bCs/>
                <w:color w:val="172B4D"/>
                <w:shd w:val="clear" w:color="auto" w:fill="FFFFFF"/>
                <w:lang w:val="en-GB"/>
              </w:rPr>
              <w:t xml:space="preserve">Arvo – Impact data service of education administration </w:t>
            </w:r>
            <w:r w:rsidRPr="00053F22">
              <w:rPr>
                <w:rFonts w:cstheme="minorHAnsi"/>
                <w:color w:val="172B4D"/>
                <w:shd w:val="clear" w:color="auto" w:fill="FFFFFF"/>
                <w:lang w:val="en-GB"/>
              </w:rPr>
              <w:t>(Arvo) is used e.g. for learner’s feedback and follow-up surveys, which collect feedback data to the system. More specific information: Description of the current state of data processing</w:t>
            </w:r>
            <w:hyperlink r:id="rId10" w:history="1">
              <w:r w:rsidRPr="00053F22">
                <w:rPr>
                  <w:rStyle w:val="Hyperlink"/>
                  <w:rFonts w:cstheme="minorHAnsi"/>
                  <w:lang w:val="en-GB"/>
                </w:rPr>
                <w:t xml:space="preserve"> - Arvo - </w:t>
              </w:r>
              <w:r w:rsidRPr="00053F22">
                <w:rPr>
                  <w:rFonts w:cstheme="minorHAnsi"/>
                  <w:b/>
                  <w:bCs/>
                  <w:color w:val="172B4D"/>
                  <w:shd w:val="clear" w:color="auto" w:fill="FFFFFF"/>
                  <w:lang w:val="en-GB"/>
                </w:rPr>
                <w:t xml:space="preserve">Impact data service of education administration </w:t>
              </w:r>
              <w:r w:rsidRPr="00053F22">
                <w:rPr>
                  <w:rStyle w:val="Hyperlink"/>
                  <w:rFonts w:cstheme="minorHAnsi"/>
                  <w:lang w:val="en-GB"/>
                </w:rPr>
                <w:t xml:space="preserve">- </w:t>
              </w:r>
              <w:proofErr w:type="spellStart"/>
              <w:r w:rsidRPr="00053F22">
                <w:rPr>
                  <w:rStyle w:val="Hyperlink"/>
                  <w:rFonts w:cstheme="minorHAnsi"/>
                  <w:lang w:val="en-GB"/>
                </w:rPr>
                <w:t>Eduuni</w:t>
              </w:r>
              <w:proofErr w:type="spellEnd"/>
              <w:r w:rsidRPr="00053F22">
                <w:rPr>
                  <w:rStyle w:val="Hyperlink"/>
                  <w:rFonts w:cstheme="minorHAnsi"/>
                  <w:lang w:val="en-GB"/>
                </w:rPr>
                <w:t>-wiki</w:t>
              </w:r>
            </w:hyperlink>
          </w:p>
          <w:p w14:paraId="258B07AB" w14:textId="10B35664" w:rsidR="009C2781" w:rsidRDefault="009C2781" w:rsidP="00E0338C">
            <w:pPr>
              <w:rPr>
                <w:rStyle w:val="Hyperlink"/>
                <w:rFonts w:cstheme="minorHAnsi"/>
                <w:lang w:val="en-GB"/>
              </w:rPr>
            </w:pPr>
            <w:r w:rsidRPr="00053F22">
              <w:rPr>
                <w:rFonts w:cstheme="minorHAnsi"/>
                <w:b/>
                <w:bCs/>
                <w:lang w:val="en-GB"/>
              </w:rPr>
              <w:t>OILI sign-up system for the academic year</w:t>
            </w:r>
            <w:r w:rsidRPr="00053F22">
              <w:rPr>
                <w:rFonts w:cstheme="minorHAnsi"/>
                <w:lang w:val="en-GB"/>
              </w:rPr>
              <w:t xml:space="preserve">. More specific information: Data protection </w:t>
            </w:r>
            <w:hyperlink r:id="rId11" w:history="1">
              <w:r w:rsidRPr="00053F22">
                <w:rPr>
                  <w:rStyle w:val="Hyperlink"/>
                  <w:rFonts w:cstheme="minorHAnsi"/>
                  <w:lang w:val="en-GB"/>
                </w:rPr>
                <w:t xml:space="preserve">and about processing of personal data – Signing up as a student and for a semester - </w:t>
              </w:r>
              <w:proofErr w:type="spellStart"/>
              <w:r w:rsidRPr="00053F22">
                <w:rPr>
                  <w:rStyle w:val="Hyperlink"/>
                  <w:rFonts w:cstheme="minorHAnsi"/>
                  <w:lang w:val="en-GB"/>
                </w:rPr>
                <w:t>Eduuni</w:t>
              </w:r>
              <w:proofErr w:type="spellEnd"/>
              <w:r w:rsidRPr="00053F22">
                <w:rPr>
                  <w:rStyle w:val="Hyperlink"/>
                  <w:rFonts w:cstheme="minorHAnsi"/>
                  <w:lang w:val="en-GB"/>
                </w:rPr>
                <w:t>-wiki</w:t>
              </w:r>
            </w:hyperlink>
          </w:p>
          <w:p w14:paraId="6B636A11" w14:textId="77777777" w:rsidR="00E9538A" w:rsidRPr="00053F22" w:rsidRDefault="00E9538A" w:rsidP="00E0338C">
            <w:pPr>
              <w:rPr>
                <w:rFonts w:cstheme="minorHAnsi"/>
                <w:lang w:val="en-GB"/>
              </w:rPr>
            </w:pPr>
          </w:p>
          <w:p w14:paraId="61B1FD77" w14:textId="71D7CCD4" w:rsidR="009C2781" w:rsidRPr="00053F22" w:rsidRDefault="009C2781" w:rsidP="00E0338C">
            <w:pPr>
              <w:rPr>
                <w:rFonts w:cstheme="minorHAnsi"/>
                <w:lang w:val="en-GB"/>
              </w:rPr>
            </w:pPr>
            <w:r w:rsidRPr="00053F22">
              <w:rPr>
                <w:rFonts w:cstheme="minorHAnsi"/>
                <w:b/>
                <w:bCs/>
                <w:lang w:val="en-GB"/>
              </w:rPr>
              <w:t>A</w:t>
            </w:r>
            <w:r w:rsidRPr="00053F22">
              <w:rPr>
                <w:b/>
                <w:bCs/>
                <w:lang w:val="en-GB"/>
              </w:rPr>
              <w:t>dmission test service for universities’ entrance exams</w:t>
            </w:r>
            <w:r w:rsidRPr="00053F22">
              <w:rPr>
                <w:rFonts w:cstheme="minorHAnsi"/>
                <w:lang w:val="en-GB"/>
              </w:rPr>
              <w:t xml:space="preserve"> for years 2022</w:t>
            </w:r>
            <w:r>
              <w:rPr>
                <w:rFonts w:cstheme="minorHAnsi"/>
                <w:lang w:val="en-GB"/>
              </w:rPr>
              <w:t>–</w:t>
            </w:r>
            <w:r w:rsidRPr="00053F22">
              <w:rPr>
                <w:rFonts w:cstheme="minorHAnsi"/>
                <w:lang w:val="en-GB"/>
              </w:rPr>
              <w:t>2023 and 2024</w:t>
            </w:r>
            <w:r>
              <w:rPr>
                <w:rFonts w:cstheme="minorHAnsi"/>
                <w:lang w:val="en-GB"/>
              </w:rPr>
              <w:t>–</w:t>
            </w:r>
            <w:r w:rsidRPr="00053F22">
              <w:rPr>
                <w:rFonts w:cstheme="minorHAnsi"/>
                <w:lang w:val="en-GB"/>
              </w:rPr>
              <w:t>2025. More specific information, Description of the processing of personal data</w:t>
            </w:r>
            <w:hyperlink r:id="rId12" w:history="1">
              <w:r w:rsidRPr="00053F22">
                <w:rPr>
                  <w:rStyle w:val="Hyperlink"/>
                  <w:rFonts w:cstheme="minorHAnsi"/>
                  <w:lang w:val="en-GB"/>
                </w:rPr>
                <w:t xml:space="preserve">: </w:t>
              </w:r>
              <w:r w:rsidRPr="00053F22">
                <w:rPr>
                  <w:rFonts w:cstheme="minorHAnsi"/>
                  <w:b/>
                  <w:bCs/>
                  <w:lang w:val="en-GB"/>
                </w:rPr>
                <w:t>A</w:t>
              </w:r>
              <w:r w:rsidRPr="00053F22">
                <w:rPr>
                  <w:b/>
                  <w:bCs/>
                  <w:lang w:val="en-GB"/>
                </w:rPr>
                <w:t>dmission test service for universities’ entrance exams</w:t>
              </w:r>
              <w:r w:rsidRPr="00053F22">
                <w:rPr>
                  <w:rFonts w:cstheme="minorHAnsi"/>
                  <w:lang w:val="en-GB"/>
                </w:rPr>
                <w:t xml:space="preserve"> </w:t>
              </w:r>
              <w:r w:rsidRPr="00053F22">
                <w:rPr>
                  <w:rStyle w:val="Hyperlink"/>
                  <w:rFonts w:cstheme="minorHAnsi"/>
                  <w:lang w:val="en-GB"/>
                </w:rPr>
                <w:t>– C</w:t>
              </w:r>
              <w:r w:rsidRPr="00053F22">
                <w:rPr>
                  <w:rStyle w:val="Hyperlink"/>
                  <w:lang w:val="en-GB"/>
                </w:rPr>
                <w:t xml:space="preserve">ooperation between higher education institutions </w:t>
              </w:r>
              <w:r w:rsidRPr="00053F22">
                <w:rPr>
                  <w:rStyle w:val="Hyperlink"/>
                  <w:rFonts w:cstheme="minorHAnsi"/>
                  <w:lang w:val="en-GB"/>
                </w:rPr>
                <w:t xml:space="preserve">and CSC - </w:t>
              </w:r>
              <w:proofErr w:type="spellStart"/>
              <w:r w:rsidRPr="00053F22">
                <w:rPr>
                  <w:rStyle w:val="Hyperlink"/>
                  <w:rFonts w:cstheme="minorHAnsi"/>
                  <w:lang w:val="en-GB"/>
                </w:rPr>
                <w:t>Eduuni</w:t>
              </w:r>
              <w:proofErr w:type="spellEnd"/>
              <w:r w:rsidRPr="00053F22">
                <w:rPr>
                  <w:rStyle w:val="Hyperlink"/>
                  <w:rFonts w:cstheme="minorHAnsi"/>
                  <w:lang w:val="en-GB"/>
                </w:rPr>
                <w:t>-wiki</w:t>
              </w:r>
            </w:hyperlink>
            <w:r w:rsidRPr="00053F22">
              <w:rPr>
                <w:rFonts w:cstheme="minorHAnsi"/>
                <w:lang w:val="en-GB"/>
              </w:rPr>
              <w:tab/>
            </w:r>
          </w:p>
          <w:p w14:paraId="0455AFFA" w14:textId="17FB6703" w:rsidR="009C2781" w:rsidRPr="00053F22" w:rsidRDefault="009C2781" w:rsidP="00E0338C">
            <w:pPr>
              <w:shd w:val="clear" w:color="auto" w:fill="FFFFFF"/>
              <w:spacing w:before="100" w:beforeAutospacing="1" w:after="100" w:afterAutospacing="1"/>
              <w:rPr>
                <w:rFonts w:eastAsia="Times New Roman" w:cstheme="minorHAnsi"/>
                <w:color w:val="172B4D"/>
                <w:lang w:val="en-GB" w:eastAsia="fi-FI"/>
              </w:rPr>
            </w:pPr>
            <w:r w:rsidRPr="00053F22">
              <w:rPr>
                <w:rFonts w:cstheme="minorHAnsi"/>
                <w:b/>
                <w:bCs/>
                <w:lang w:val="en-GB"/>
              </w:rPr>
              <w:t xml:space="preserve">Cross-studying </w:t>
            </w:r>
            <w:proofErr w:type="gramStart"/>
            <w:r w:rsidRPr="00053F22">
              <w:rPr>
                <w:rFonts w:cstheme="minorHAnsi"/>
                <w:b/>
                <w:bCs/>
                <w:lang w:val="en-GB"/>
              </w:rPr>
              <w:t xml:space="preserve">service </w:t>
            </w:r>
            <w:r w:rsidRPr="00053F22">
              <w:rPr>
                <w:rFonts w:cstheme="minorHAnsi"/>
                <w:lang w:val="en-GB"/>
              </w:rPr>
              <w:t>,</w:t>
            </w:r>
            <w:proofErr w:type="gramEnd"/>
            <w:r w:rsidRPr="00053F22">
              <w:rPr>
                <w:rFonts w:cstheme="minorHAnsi"/>
                <w:lang w:val="en-GB"/>
              </w:rPr>
              <w:t xml:space="preserve"> where the purpose of processing is to transfer data related to study </w:t>
            </w:r>
            <w:r w:rsidRPr="00053F22">
              <w:rPr>
                <w:rFonts w:cstheme="minorHAnsi"/>
                <w:lang w:val="en-GB"/>
              </w:rPr>
              <w:lastRenderedPageBreak/>
              <w:t>provision</w:t>
            </w:r>
            <w:r w:rsidRPr="00053F22">
              <w:rPr>
                <w:rFonts w:eastAsia="Times New Roman" w:cstheme="minorHAnsi"/>
                <w:color w:val="000000"/>
                <w:lang w:val="en-GB" w:eastAsia="fi-FI"/>
              </w:rPr>
              <w:t>, registrations and study records with the partner universities joined in the cross-studying service.</w:t>
            </w:r>
            <w:r w:rsidRPr="00053F22">
              <w:rPr>
                <w:rFonts w:cstheme="minorHAnsi"/>
                <w:lang w:val="en-GB"/>
              </w:rPr>
              <w:t xml:space="preserve"> Processing of personal data</w:t>
            </w:r>
            <w:hyperlink r:id="rId13" w:history="1">
              <w:r w:rsidRPr="00053F22">
                <w:rPr>
                  <w:rStyle w:val="Hyperlink"/>
                  <w:rFonts w:cstheme="minorHAnsi"/>
                  <w:lang w:val="en-GB"/>
                </w:rPr>
                <w:t xml:space="preserve"> – Cross-studying service - </w:t>
              </w:r>
              <w:proofErr w:type="spellStart"/>
              <w:r w:rsidRPr="00053F22">
                <w:rPr>
                  <w:rStyle w:val="Hyperlink"/>
                  <w:rFonts w:cstheme="minorHAnsi"/>
                  <w:lang w:val="en-GB"/>
                </w:rPr>
                <w:t>Eduuni</w:t>
              </w:r>
              <w:proofErr w:type="spellEnd"/>
              <w:r w:rsidRPr="00053F22">
                <w:rPr>
                  <w:rStyle w:val="Hyperlink"/>
                  <w:rFonts w:cstheme="minorHAnsi"/>
                  <w:lang w:val="en-GB"/>
                </w:rPr>
                <w:t>-wiki</w:t>
              </w:r>
            </w:hyperlink>
            <w:r w:rsidRPr="00053F22">
              <w:rPr>
                <w:rFonts w:cstheme="minorHAnsi"/>
                <w:lang w:val="en-GB"/>
              </w:rPr>
              <w:tab/>
            </w:r>
          </w:p>
          <w:p w14:paraId="664CB2F4" w14:textId="3441FF64" w:rsidR="009C2781" w:rsidRDefault="009C2781" w:rsidP="00E0338C">
            <w:pPr>
              <w:rPr>
                <w:rFonts w:cstheme="minorHAnsi"/>
                <w:lang w:val="en-GB"/>
              </w:rPr>
            </w:pPr>
            <w:r w:rsidRPr="00053F22">
              <w:rPr>
                <w:rFonts w:cstheme="minorHAnsi"/>
                <w:b/>
                <w:bCs/>
                <w:lang w:val="en-GB"/>
              </w:rPr>
              <w:t xml:space="preserve">Exam </w:t>
            </w:r>
            <w:r w:rsidRPr="00053F22">
              <w:rPr>
                <w:b/>
                <w:bCs/>
                <w:lang w:val="en-GB"/>
              </w:rPr>
              <w:t>service order</w:t>
            </w:r>
            <w:r w:rsidRPr="00053F22">
              <w:rPr>
                <w:rFonts w:cstheme="minorHAnsi"/>
                <w:lang w:val="en-GB"/>
              </w:rPr>
              <w:t xml:space="preserve">, </w:t>
            </w:r>
            <w:r w:rsidRPr="00053F22">
              <w:rPr>
                <w:rFonts w:cstheme="minorHAnsi"/>
                <w:color w:val="333333"/>
                <w:shd w:val="clear" w:color="auto" w:fill="FCFCFC"/>
                <w:lang w:val="en-GB"/>
              </w:rPr>
              <w:t>EXAM is a system that enables the demonstration and assessment of well-rounded and flexible competence. </w:t>
            </w:r>
            <w:r>
              <w:rPr>
                <w:rFonts w:cstheme="minorHAnsi"/>
                <w:color w:val="333333"/>
                <w:shd w:val="clear" w:color="auto" w:fill="FCFCFC"/>
                <w:lang w:val="en-GB"/>
              </w:rPr>
              <w:t>A</w:t>
            </w:r>
            <w:r w:rsidRPr="00053F22">
              <w:rPr>
                <w:rFonts w:cstheme="minorHAnsi"/>
                <w:color w:val="333333"/>
                <w:shd w:val="clear" w:color="auto" w:fill="FCFCFC"/>
                <w:lang w:val="en-GB"/>
              </w:rPr>
              <w:t xml:space="preserve"> teacher can</w:t>
            </w:r>
            <w:r>
              <w:rPr>
                <w:rFonts w:cstheme="minorHAnsi"/>
                <w:color w:val="333333"/>
                <w:shd w:val="clear" w:color="auto" w:fill="FCFCFC"/>
                <w:lang w:val="en-GB"/>
              </w:rPr>
              <w:t xml:space="preserve"> use EXAM to</w:t>
            </w:r>
            <w:r w:rsidRPr="00053F22">
              <w:rPr>
                <w:rFonts w:cstheme="minorHAnsi"/>
                <w:color w:val="333333"/>
                <w:shd w:val="clear" w:color="auto" w:fill="FCFCFC"/>
                <w:lang w:val="en-GB"/>
              </w:rPr>
              <w:t xml:space="preserve"> carry out and assess various exams and competence demonstrations. Students get a flexible choice for the time and place for taking the exam.</w:t>
            </w:r>
            <w:r w:rsidRPr="00053F22">
              <w:rPr>
                <w:rFonts w:cstheme="minorHAnsi"/>
                <w:lang w:val="en-GB"/>
              </w:rPr>
              <w:t xml:space="preserve"> </w:t>
            </w:r>
            <w:hyperlink r:id="rId14" w:history="1">
              <w:r w:rsidRPr="00053F22">
                <w:rPr>
                  <w:rStyle w:val="Hyperlink"/>
                  <w:rFonts w:cstheme="minorHAnsi"/>
                  <w:lang w:val="en-GB"/>
                </w:rPr>
                <w:t xml:space="preserve">EXAM - EXAM - </w:t>
              </w:r>
              <w:proofErr w:type="spellStart"/>
              <w:r w:rsidRPr="00053F22">
                <w:rPr>
                  <w:rStyle w:val="Hyperlink"/>
                  <w:rFonts w:cstheme="minorHAnsi"/>
                  <w:lang w:val="en-GB"/>
                </w:rPr>
                <w:t>Eduuni</w:t>
              </w:r>
              <w:proofErr w:type="spellEnd"/>
              <w:r w:rsidRPr="00053F22">
                <w:rPr>
                  <w:rStyle w:val="Hyperlink"/>
                  <w:rFonts w:cstheme="minorHAnsi"/>
                  <w:lang w:val="en-GB"/>
                </w:rPr>
                <w:t>-wiki</w:t>
              </w:r>
            </w:hyperlink>
            <w:r w:rsidRPr="00053F22">
              <w:rPr>
                <w:rFonts w:cstheme="minorHAnsi"/>
                <w:lang w:val="en-GB"/>
              </w:rPr>
              <w:t xml:space="preserve"> </w:t>
            </w:r>
          </w:p>
          <w:p w14:paraId="7FF7A6F0" w14:textId="77777777" w:rsidR="00E9538A" w:rsidRPr="00053F22" w:rsidRDefault="00E9538A" w:rsidP="00E0338C">
            <w:pPr>
              <w:rPr>
                <w:rFonts w:cstheme="minorHAnsi"/>
                <w:lang w:val="en-GB"/>
              </w:rPr>
            </w:pPr>
          </w:p>
          <w:p w14:paraId="277A3021" w14:textId="4D307A85" w:rsidR="009C2781" w:rsidRPr="00053F22" w:rsidRDefault="009C2781" w:rsidP="00E0338C">
            <w:pPr>
              <w:rPr>
                <w:rFonts w:cstheme="minorHAnsi"/>
                <w:lang w:val="en-GB"/>
              </w:rPr>
            </w:pPr>
            <w:r w:rsidRPr="00053F22">
              <w:rPr>
                <w:rFonts w:cstheme="minorHAnsi"/>
                <w:b/>
                <w:bCs/>
                <w:lang w:val="en-GB"/>
              </w:rPr>
              <w:t>KOHA service order</w:t>
            </w:r>
            <w:r w:rsidRPr="00053F22">
              <w:rPr>
                <w:rFonts w:cstheme="minorHAnsi"/>
                <w:lang w:val="en-GB"/>
              </w:rPr>
              <w:t>, a library system</w:t>
            </w:r>
            <w:r w:rsidRPr="00053F22">
              <w:rPr>
                <w:rFonts w:cstheme="minorHAnsi"/>
                <w:lang w:val="en-GB"/>
              </w:rPr>
              <w:tab/>
            </w:r>
          </w:p>
          <w:p w14:paraId="159534A3" w14:textId="047204BE" w:rsidR="009C2781" w:rsidRPr="00053F22" w:rsidRDefault="009C2781" w:rsidP="00E0338C">
            <w:pPr>
              <w:rPr>
                <w:rFonts w:cstheme="minorHAnsi"/>
                <w:lang w:val="en-GB"/>
              </w:rPr>
            </w:pPr>
            <w:r w:rsidRPr="00053F22">
              <w:rPr>
                <w:rFonts w:cstheme="minorHAnsi"/>
                <w:lang w:val="en-GB"/>
              </w:rPr>
              <w:t xml:space="preserve">Service order for the </w:t>
            </w:r>
            <w:r w:rsidRPr="00053F22">
              <w:rPr>
                <w:rFonts w:cstheme="minorHAnsi"/>
                <w:b/>
                <w:bCs/>
                <w:lang w:val="en-GB"/>
              </w:rPr>
              <w:t>Certia server capacity</w:t>
            </w:r>
            <w:r w:rsidRPr="00053F22">
              <w:rPr>
                <w:rFonts w:cstheme="minorHAnsi"/>
                <w:lang w:val="en-GB"/>
              </w:rPr>
              <w:tab/>
            </w:r>
          </w:p>
          <w:p w14:paraId="1811121B" w14:textId="3E4F4691" w:rsidR="009C2781" w:rsidRPr="00053F22" w:rsidRDefault="009C2781" w:rsidP="00E0338C">
            <w:pPr>
              <w:rPr>
                <w:rFonts w:cstheme="minorHAnsi"/>
                <w:lang w:val="en-GB"/>
              </w:rPr>
            </w:pPr>
            <w:r w:rsidRPr="00053F22">
              <w:rPr>
                <w:rFonts w:cstheme="minorHAnsi"/>
                <w:lang w:val="en-GB"/>
              </w:rPr>
              <w:t>Processing other than those taking place under a framework agreement</w:t>
            </w:r>
            <w:r w:rsidRPr="00053F22">
              <w:rPr>
                <w:rFonts w:cstheme="minorHAnsi"/>
                <w:lang w:val="en-GB"/>
              </w:rPr>
              <w:tab/>
            </w:r>
          </w:p>
          <w:p w14:paraId="61F054D2" w14:textId="6524E11C" w:rsidR="009C2781" w:rsidRPr="00053F22" w:rsidRDefault="009C2781" w:rsidP="00E0338C">
            <w:pPr>
              <w:rPr>
                <w:rFonts w:cstheme="minorHAnsi"/>
                <w:lang w:val="en-GB"/>
              </w:rPr>
            </w:pPr>
            <w:proofErr w:type="spellStart"/>
            <w:r w:rsidRPr="00053F22">
              <w:rPr>
                <w:rFonts w:cstheme="minorHAnsi"/>
                <w:lang w:val="en-GB"/>
              </w:rPr>
              <w:t>Funet</w:t>
            </w:r>
            <w:proofErr w:type="spellEnd"/>
            <w:r w:rsidRPr="00053F22">
              <w:rPr>
                <w:rFonts w:cstheme="minorHAnsi"/>
                <w:lang w:val="en-GB"/>
              </w:rPr>
              <w:t xml:space="preserve"> membership agreement: </w:t>
            </w:r>
          </w:p>
          <w:p w14:paraId="5BF2F346" w14:textId="7560FA51" w:rsidR="009C2781" w:rsidRPr="00053F22" w:rsidRDefault="009C2781" w:rsidP="00E0338C">
            <w:pPr>
              <w:pStyle w:val="ListParagraph"/>
              <w:numPr>
                <w:ilvl w:val="0"/>
                <w:numId w:val="19"/>
              </w:numPr>
              <w:rPr>
                <w:rFonts w:cstheme="minorHAnsi"/>
                <w:lang w:val="en-GB"/>
              </w:rPr>
            </w:pPr>
            <w:proofErr w:type="spellStart"/>
            <w:r w:rsidRPr="00053F22">
              <w:rPr>
                <w:rFonts w:cstheme="minorHAnsi"/>
                <w:highlight w:val="green"/>
                <w:lang w:val="en-GB"/>
              </w:rPr>
              <w:t>Funet</w:t>
            </w:r>
            <w:proofErr w:type="spellEnd"/>
            <w:r w:rsidRPr="00053F22">
              <w:rPr>
                <w:rFonts w:cstheme="minorHAnsi"/>
                <w:highlight w:val="green"/>
                <w:lang w:val="en-GB"/>
              </w:rPr>
              <w:t xml:space="preserve"> </w:t>
            </w:r>
            <w:proofErr w:type="spellStart"/>
            <w:r w:rsidRPr="00053F22">
              <w:rPr>
                <w:rFonts w:cstheme="minorHAnsi"/>
                <w:highlight w:val="green"/>
                <w:lang w:val="en-GB"/>
              </w:rPr>
              <w:t>Filesender</w:t>
            </w:r>
            <w:proofErr w:type="spellEnd"/>
            <w:r w:rsidRPr="00053F22">
              <w:rPr>
                <w:rFonts w:cstheme="minorHAnsi"/>
                <w:highlight w:val="green"/>
                <w:lang w:val="en-GB"/>
              </w:rPr>
              <w:t>, a browser-based service for sending files</w:t>
            </w:r>
            <w:r w:rsidRPr="00053F22">
              <w:rPr>
                <w:rFonts w:cstheme="minorHAnsi"/>
                <w:lang w:val="en-GB"/>
              </w:rPr>
              <w:t xml:space="preserve">, </w:t>
            </w:r>
            <w:hyperlink r:id="rId15" w:history="1">
              <w:proofErr w:type="spellStart"/>
              <w:r w:rsidRPr="00053F22">
                <w:rPr>
                  <w:rStyle w:val="Hyperlink"/>
                  <w:rFonts w:cstheme="minorHAnsi"/>
                  <w:lang w:val="en-GB"/>
                </w:rPr>
                <w:t>Funet</w:t>
              </w:r>
              <w:proofErr w:type="spellEnd"/>
              <w:r w:rsidRPr="00053F22">
                <w:rPr>
                  <w:rStyle w:val="Hyperlink"/>
                  <w:rFonts w:cstheme="minorHAnsi"/>
                  <w:lang w:val="en-GB"/>
                </w:rPr>
                <w:t xml:space="preserve"> </w:t>
              </w:r>
              <w:proofErr w:type="spellStart"/>
              <w:r w:rsidRPr="00053F22">
                <w:rPr>
                  <w:rStyle w:val="Hyperlink"/>
                  <w:rFonts w:cstheme="minorHAnsi"/>
                  <w:lang w:val="en-GB"/>
                </w:rPr>
                <w:t>FileSender</w:t>
              </w:r>
              <w:proofErr w:type="spellEnd"/>
              <w:r w:rsidRPr="00053F22">
                <w:rPr>
                  <w:rStyle w:val="Hyperlink"/>
                  <w:rFonts w:cstheme="minorHAnsi"/>
                  <w:lang w:val="en-GB"/>
                </w:rPr>
                <w:t xml:space="preserve"> – P</w:t>
              </w:r>
              <w:r w:rsidRPr="00053F22">
                <w:rPr>
                  <w:rStyle w:val="Hyperlink"/>
                  <w:lang w:val="en-GB"/>
                </w:rPr>
                <w:t>rivacy notice</w:t>
              </w:r>
              <w:r w:rsidRPr="00053F22">
                <w:rPr>
                  <w:rStyle w:val="Hyperlink"/>
                  <w:rFonts w:cstheme="minorHAnsi"/>
                  <w:lang w:val="en-GB"/>
                </w:rPr>
                <w:t>/ Privacy Policy</w:t>
              </w:r>
            </w:hyperlink>
            <w:r w:rsidRPr="00053F22">
              <w:rPr>
                <w:rFonts w:cstheme="minorHAnsi"/>
                <w:lang w:val="en-GB"/>
              </w:rPr>
              <w:t xml:space="preserve"> </w:t>
            </w:r>
          </w:p>
          <w:p w14:paraId="126BAF5B" w14:textId="77777777" w:rsidR="009C2781" w:rsidRPr="00053F22" w:rsidRDefault="009C2781" w:rsidP="00E0338C">
            <w:pPr>
              <w:pStyle w:val="ListParagraph"/>
              <w:numPr>
                <w:ilvl w:val="0"/>
                <w:numId w:val="19"/>
              </w:numPr>
              <w:rPr>
                <w:rFonts w:cstheme="minorHAnsi"/>
                <w:lang w:val="en-GB"/>
              </w:rPr>
            </w:pPr>
            <w:proofErr w:type="spellStart"/>
            <w:r w:rsidRPr="00053F22">
              <w:rPr>
                <w:rFonts w:cstheme="minorHAnsi"/>
                <w:lang w:val="en-GB"/>
              </w:rPr>
              <w:t>Eduroam</w:t>
            </w:r>
            <w:proofErr w:type="spellEnd"/>
            <w:r w:rsidRPr="00053F22">
              <w:rPr>
                <w:rFonts w:cstheme="minorHAnsi"/>
                <w:lang w:val="en-GB"/>
              </w:rPr>
              <w:t xml:space="preserve"> </w:t>
            </w:r>
            <w:hyperlink r:id="rId16" w:history="1">
              <w:r w:rsidRPr="00053F22">
                <w:rPr>
                  <w:rStyle w:val="Hyperlink"/>
                  <w:rFonts w:cstheme="minorHAnsi"/>
                  <w:lang w:val="en-GB"/>
                </w:rPr>
                <w:t>eduroam-privacy-framework-funet.pdf</w:t>
              </w:r>
            </w:hyperlink>
          </w:p>
          <w:p w14:paraId="4832F140" w14:textId="2A8A5CA3" w:rsidR="009C2781" w:rsidRPr="00053F22" w:rsidRDefault="009C2781" w:rsidP="00E0338C">
            <w:pPr>
              <w:pStyle w:val="ListParagraph"/>
              <w:numPr>
                <w:ilvl w:val="0"/>
                <w:numId w:val="19"/>
              </w:numPr>
              <w:rPr>
                <w:rFonts w:cstheme="minorHAnsi"/>
                <w:lang w:val="en-GB"/>
              </w:rPr>
            </w:pPr>
            <w:r w:rsidRPr="00053F22">
              <w:rPr>
                <w:rFonts w:cstheme="minorHAnsi"/>
                <w:lang w:val="en-GB"/>
              </w:rPr>
              <w:t xml:space="preserve">Certification service, </w:t>
            </w:r>
            <w:proofErr w:type="spellStart"/>
            <w:r w:rsidRPr="00053F22">
              <w:rPr>
                <w:rFonts w:cstheme="minorHAnsi"/>
                <w:color w:val="172B4D"/>
                <w:shd w:val="clear" w:color="auto" w:fill="FFFFFF"/>
                <w:lang w:val="en-GB"/>
              </w:rPr>
              <w:t>Funet</w:t>
            </w:r>
            <w:proofErr w:type="spellEnd"/>
            <w:r w:rsidRPr="00053F22">
              <w:rPr>
                <w:rFonts w:cstheme="minorHAnsi"/>
                <w:color w:val="172B4D"/>
                <w:shd w:val="clear" w:color="auto" w:fill="FFFFFF"/>
                <w:lang w:val="en-GB"/>
              </w:rPr>
              <w:t xml:space="preserve"> Certification Service delivers server and personal certifications to a </w:t>
            </w:r>
            <w:proofErr w:type="spellStart"/>
            <w:r w:rsidRPr="00053F22">
              <w:rPr>
                <w:rFonts w:cstheme="minorHAnsi"/>
                <w:color w:val="172B4D"/>
                <w:shd w:val="clear" w:color="auto" w:fill="FFFFFF"/>
                <w:lang w:val="en-GB"/>
              </w:rPr>
              <w:t>Funet</w:t>
            </w:r>
            <w:proofErr w:type="spellEnd"/>
            <w:r w:rsidRPr="00053F22">
              <w:rPr>
                <w:rFonts w:cstheme="minorHAnsi"/>
                <w:color w:val="172B4D"/>
                <w:shd w:val="clear" w:color="auto" w:fill="FFFFFF"/>
                <w:lang w:val="en-GB"/>
              </w:rPr>
              <w:t xml:space="preserve"> member organisation.</w:t>
            </w:r>
          </w:p>
          <w:p w14:paraId="24BA897B" w14:textId="43F6663F" w:rsidR="009C2781" w:rsidRPr="00053F22" w:rsidRDefault="009C2781" w:rsidP="00E0338C">
            <w:pPr>
              <w:pStyle w:val="ListParagraph"/>
              <w:numPr>
                <w:ilvl w:val="0"/>
                <w:numId w:val="19"/>
              </w:numPr>
              <w:spacing w:after="160" w:line="259" w:lineRule="auto"/>
              <w:rPr>
                <w:rFonts w:cstheme="minorHAnsi"/>
                <w:lang w:val="en-GB"/>
              </w:rPr>
            </w:pPr>
            <w:hyperlink r:id="rId17" w:history="1">
              <w:proofErr w:type="spellStart"/>
              <w:r w:rsidRPr="00053F22">
                <w:rPr>
                  <w:rStyle w:val="Hyperlink"/>
                  <w:rFonts w:cstheme="minorHAnsi"/>
                  <w:lang w:val="en-GB"/>
                </w:rPr>
                <w:t>Funet</w:t>
              </w:r>
              <w:proofErr w:type="spellEnd"/>
              <w:r w:rsidRPr="00053F22">
                <w:rPr>
                  <w:rStyle w:val="Hyperlink"/>
                  <w:rFonts w:cstheme="minorHAnsi"/>
                  <w:lang w:val="en-GB"/>
                </w:rPr>
                <w:t xml:space="preserve"> Backup </w:t>
              </w:r>
              <w:r w:rsidRPr="00053F22">
                <w:rPr>
                  <w:rStyle w:val="Hyperlink"/>
                  <w:lang w:val="en-GB"/>
                </w:rPr>
                <w:t>service</w:t>
              </w:r>
              <w:r w:rsidRPr="00053F22">
                <w:rPr>
                  <w:rStyle w:val="Hyperlink"/>
                  <w:rFonts w:cstheme="minorHAnsi"/>
                  <w:lang w:val="en-GB"/>
                </w:rPr>
                <w:t xml:space="preserve"> * - </w:t>
              </w:r>
              <w:proofErr w:type="spellStart"/>
              <w:r w:rsidRPr="00053F22">
                <w:rPr>
                  <w:rStyle w:val="Hyperlink"/>
                  <w:rFonts w:cstheme="minorHAnsi"/>
                  <w:lang w:val="en-GB"/>
                </w:rPr>
                <w:t>Funet</w:t>
              </w:r>
              <w:proofErr w:type="spellEnd"/>
              <w:r w:rsidRPr="00053F22">
                <w:rPr>
                  <w:rStyle w:val="Hyperlink"/>
                  <w:rFonts w:cstheme="minorHAnsi"/>
                  <w:lang w:val="en-GB"/>
                </w:rPr>
                <w:t xml:space="preserve"> - </w:t>
              </w:r>
              <w:proofErr w:type="spellStart"/>
              <w:r w:rsidRPr="00053F22">
                <w:rPr>
                  <w:rStyle w:val="Hyperlink"/>
                  <w:rFonts w:cstheme="minorHAnsi"/>
                  <w:lang w:val="en-GB"/>
                </w:rPr>
                <w:t>Eduuni</w:t>
              </w:r>
              <w:proofErr w:type="spellEnd"/>
              <w:r w:rsidRPr="00053F22">
                <w:rPr>
                  <w:rStyle w:val="Hyperlink"/>
                  <w:rFonts w:cstheme="minorHAnsi"/>
                  <w:lang w:val="en-GB"/>
                </w:rPr>
                <w:t>-wiki</w:t>
              </w:r>
            </w:hyperlink>
          </w:p>
          <w:p w14:paraId="655E111E" w14:textId="2B8478E4" w:rsidR="009C2781" w:rsidRPr="00053F22" w:rsidRDefault="009C2781" w:rsidP="00E0338C">
            <w:pPr>
              <w:pStyle w:val="ListParagraph"/>
              <w:numPr>
                <w:ilvl w:val="0"/>
                <w:numId w:val="19"/>
              </w:numPr>
              <w:rPr>
                <w:rFonts w:cstheme="minorHAnsi"/>
                <w:highlight w:val="green"/>
                <w:lang w:val="en-GB"/>
              </w:rPr>
            </w:pPr>
            <w:proofErr w:type="spellStart"/>
            <w:r w:rsidRPr="00053F22">
              <w:rPr>
                <w:rFonts w:cstheme="minorHAnsi"/>
                <w:highlight w:val="green"/>
                <w:lang w:val="en-GB"/>
              </w:rPr>
              <w:t>Funet</w:t>
            </w:r>
            <w:proofErr w:type="spellEnd"/>
            <w:r w:rsidRPr="00053F22">
              <w:rPr>
                <w:rFonts w:cstheme="minorHAnsi"/>
                <w:highlight w:val="green"/>
                <w:lang w:val="en-GB"/>
              </w:rPr>
              <w:t xml:space="preserve">: </w:t>
            </w:r>
            <w:proofErr w:type="spellStart"/>
            <w:r w:rsidRPr="00053F22">
              <w:rPr>
                <w:rFonts w:cstheme="minorHAnsi"/>
                <w:highlight w:val="green"/>
                <w:lang w:val="en-GB"/>
              </w:rPr>
              <w:t>Funet</w:t>
            </w:r>
            <w:proofErr w:type="spellEnd"/>
            <w:r w:rsidRPr="00053F22">
              <w:rPr>
                <w:rFonts w:cstheme="minorHAnsi"/>
                <w:highlight w:val="green"/>
                <w:lang w:val="en-GB"/>
              </w:rPr>
              <w:t xml:space="preserve"> </w:t>
            </w:r>
            <w:proofErr w:type="spellStart"/>
            <w:r w:rsidRPr="00053F22">
              <w:rPr>
                <w:rFonts w:cstheme="minorHAnsi"/>
                <w:highlight w:val="green"/>
                <w:lang w:val="en-GB"/>
              </w:rPr>
              <w:t>Miitti</w:t>
            </w:r>
            <w:proofErr w:type="spellEnd"/>
            <w:r w:rsidRPr="00053F22">
              <w:rPr>
                <w:rFonts w:cstheme="minorHAnsi"/>
                <w:highlight w:val="green"/>
                <w:lang w:val="en-GB"/>
              </w:rPr>
              <w:t xml:space="preserve"> (</w:t>
            </w:r>
            <w:r w:rsidRPr="00053F22">
              <w:rPr>
                <w:rFonts w:cstheme="minorHAnsi"/>
                <w:b/>
                <w:bCs/>
                <w:highlight w:val="green"/>
                <w:lang w:val="en-GB"/>
              </w:rPr>
              <w:t>Zoom)</w:t>
            </w:r>
            <w:r w:rsidRPr="00053F22">
              <w:rPr>
                <w:rFonts w:cstheme="minorHAnsi"/>
                <w:highlight w:val="green"/>
                <w:lang w:val="en-GB"/>
              </w:rPr>
              <w:t xml:space="preserve"> video conferencing connection</w:t>
            </w:r>
            <w:r w:rsidRPr="00053F22">
              <w:rPr>
                <w:rFonts w:cstheme="minorHAnsi"/>
                <w:highlight w:val="green"/>
                <w:lang w:val="en-GB"/>
              </w:rPr>
              <w:tab/>
            </w:r>
          </w:p>
          <w:p w14:paraId="64C3A92D" w14:textId="2FD4D10A" w:rsidR="009C2781" w:rsidRPr="00053F22" w:rsidRDefault="009C2781" w:rsidP="00E0338C">
            <w:pPr>
              <w:pStyle w:val="ListParagraph"/>
              <w:numPr>
                <w:ilvl w:val="0"/>
                <w:numId w:val="19"/>
              </w:numPr>
              <w:rPr>
                <w:rFonts w:cstheme="minorHAnsi"/>
                <w:lang w:val="en-GB"/>
              </w:rPr>
            </w:pPr>
            <w:proofErr w:type="spellStart"/>
            <w:r w:rsidRPr="00053F22">
              <w:rPr>
                <w:rFonts w:cstheme="minorHAnsi"/>
                <w:lang w:val="en-GB"/>
              </w:rPr>
              <w:t>Funet</w:t>
            </w:r>
            <w:proofErr w:type="spellEnd"/>
            <w:r w:rsidRPr="00053F22">
              <w:rPr>
                <w:rFonts w:cstheme="minorHAnsi"/>
                <w:lang w:val="en-GB"/>
              </w:rPr>
              <w:t>: IP-back-up connection</w:t>
            </w:r>
            <w:r w:rsidRPr="00053F22">
              <w:rPr>
                <w:rFonts w:cstheme="minorHAnsi"/>
                <w:lang w:val="en-GB"/>
              </w:rPr>
              <w:tab/>
            </w:r>
          </w:p>
          <w:p w14:paraId="413E1829" w14:textId="19446A12" w:rsidR="009C2781" w:rsidRPr="00053F22" w:rsidRDefault="009C2781" w:rsidP="00E0338C">
            <w:pPr>
              <w:rPr>
                <w:rFonts w:cstheme="minorHAnsi"/>
                <w:lang w:val="en-GB"/>
              </w:rPr>
            </w:pPr>
            <w:r w:rsidRPr="00053F22">
              <w:rPr>
                <w:rFonts w:cstheme="minorHAnsi"/>
                <w:b/>
                <w:bCs/>
                <w:lang w:val="en-GB"/>
              </w:rPr>
              <w:t>Haka</w:t>
            </w:r>
            <w:r w:rsidRPr="00053F22">
              <w:rPr>
                <w:rFonts w:cstheme="minorHAnsi"/>
                <w:lang w:val="en-GB"/>
              </w:rPr>
              <w:t xml:space="preserve"> </w:t>
            </w:r>
            <w:r>
              <w:rPr>
                <w:rFonts w:cstheme="minorHAnsi"/>
                <w:lang w:val="en-GB"/>
              </w:rPr>
              <w:t>login</w:t>
            </w:r>
            <w:r w:rsidRPr="00053F22">
              <w:rPr>
                <w:rFonts w:cstheme="minorHAnsi"/>
                <w:lang w:val="en-GB"/>
              </w:rPr>
              <w:t xml:space="preserve"> (circle of trust)</w:t>
            </w:r>
            <w:r w:rsidRPr="00053F22">
              <w:rPr>
                <w:rFonts w:cstheme="minorHAnsi"/>
                <w:lang w:val="en-GB"/>
              </w:rPr>
              <w:tab/>
            </w:r>
          </w:p>
          <w:p w14:paraId="0631BD8E" w14:textId="75AC0053" w:rsidR="009C2781" w:rsidRPr="00053F22" w:rsidRDefault="009C2781" w:rsidP="00E0338C">
            <w:pPr>
              <w:pStyle w:val="ListParagraph"/>
              <w:numPr>
                <w:ilvl w:val="0"/>
                <w:numId w:val="20"/>
              </w:numPr>
              <w:rPr>
                <w:rFonts w:cstheme="minorHAnsi"/>
                <w:lang w:val="en-GB"/>
              </w:rPr>
            </w:pPr>
            <w:r w:rsidRPr="00053F22">
              <w:rPr>
                <w:rFonts w:cstheme="minorHAnsi"/>
                <w:lang w:val="en-GB"/>
              </w:rPr>
              <w:lastRenderedPageBreak/>
              <w:t>Connection agreement between a member of the circle of trust and a partner.</w:t>
            </w:r>
          </w:p>
          <w:p w14:paraId="3CC8C164" w14:textId="18A979AC" w:rsidR="009C2781" w:rsidRPr="00053F22" w:rsidRDefault="009C2781" w:rsidP="00454A23">
            <w:pPr>
              <w:rPr>
                <w:lang w:val="en-GB"/>
              </w:rPr>
            </w:pPr>
          </w:p>
        </w:tc>
        <w:tc>
          <w:tcPr>
            <w:tcW w:w="1532" w:type="pct"/>
          </w:tcPr>
          <w:p w14:paraId="7CAFF483" w14:textId="23FB2343" w:rsidR="009C2781" w:rsidRPr="00053F22" w:rsidRDefault="009C2781" w:rsidP="00454A23">
            <w:pPr>
              <w:rPr>
                <w:lang w:val="en-GB"/>
              </w:rPr>
            </w:pPr>
            <w:r w:rsidRPr="00053F22">
              <w:rPr>
                <w:lang w:val="en-GB"/>
              </w:rPr>
              <w:lastRenderedPageBreak/>
              <w:t>Not transferred.</w:t>
            </w:r>
          </w:p>
          <w:p w14:paraId="054447F8" w14:textId="77777777" w:rsidR="009C2781" w:rsidRPr="00053F22" w:rsidRDefault="009C2781" w:rsidP="00454A23">
            <w:pPr>
              <w:rPr>
                <w:lang w:val="en-GB"/>
              </w:rPr>
            </w:pPr>
          </w:p>
        </w:tc>
      </w:tr>
      <w:tr w:rsidR="009C2781" w:rsidRPr="00502BC9" w14:paraId="3BCDCA84" w14:textId="526955FA" w:rsidTr="00A63EA2">
        <w:trPr>
          <w:cantSplit/>
          <w:trHeight w:val="1271"/>
        </w:trPr>
        <w:tc>
          <w:tcPr>
            <w:tcW w:w="788" w:type="pct"/>
          </w:tcPr>
          <w:p w14:paraId="4BBD5FE7" w14:textId="1430EBF4" w:rsidR="009C2781" w:rsidRPr="00DE096B" w:rsidRDefault="009C2781" w:rsidP="00DE096B">
            <w:pPr>
              <w:rPr>
                <w:lang w:val="en-GB"/>
              </w:rPr>
            </w:pPr>
            <w:r w:rsidRPr="00053F22">
              <w:rPr>
                <w:rStyle w:val="IntenseEmphasis"/>
                <w:lang w:val="en-GB"/>
              </w:rPr>
              <w:lastRenderedPageBreak/>
              <w:t>Data Processor, i.e. a party to whom the processing of personal data has been outsourced</w:t>
            </w:r>
          </w:p>
        </w:tc>
        <w:tc>
          <w:tcPr>
            <w:tcW w:w="900" w:type="pct"/>
          </w:tcPr>
          <w:p w14:paraId="3B14FE21" w14:textId="33D8B04E" w:rsidR="009C2781" w:rsidRPr="00053F22" w:rsidRDefault="009C2781" w:rsidP="00DE096B">
            <w:pPr>
              <w:rPr>
                <w:lang w:val="en-GB"/>
              </w:rPr>
            </w:pPr>
            <w:r w:rsidRPr="00053F22">
              <w:rPr>
                <w:rStyle w:val="IntenseEmphasis"/>
                <w:lang w:val="en-GB"/>
              </w:rPr>
              <w:t xml:space="preserve">Processing act using </w:t>
            </w:r>
          </w:p>
        </w:tc>
        <w:tc>
          <w:tcPr>
            <w:tcW w:w="1780" w:type="pct"/>
          </w:tcPr>
          <w:p w14:paraId="2F661054" w14:textId="1AF070D0" w:rsidR="009C2781" w:rsidRPr="00053F22" w:rsidRDefault="009C2781" w:rsidP="00DE096B">
            <w:pPr>
              <w:rPr>
                <w:lang w:val="en-GB"/>
              </w:rPr>
            </w:pPr>
            <w:r w:rsidRPr="00053F22">
              <w:rPr>
                <w:rStyle w:val="IntenseEmphasis"/>
                <w:lang w:val="en-GB"/>
              </w:rPr>
              <w:t>Description of the object of agreement (purpose) (general description of the data to be processed)</w:t>
            </w:r>
          </w:p>
        </w:tc>
        <w:tc>
          <w:tcPr>
            <w:tcW w:w="1532" w:type="pct"/>
          </w:tcPr>
          <w:p w14:paraId="798D4645" w14:textId="15249230" w:rsidR="009C2781" w:rsidRPr="00053F22" w:rsidRDefault="009C2781" w:rsidP="00DE096B">
            <w:pPr>
              <w:rPr>
                <w:lang w:val="en-GB"/>
              </w:rPr>
            </w:pPr>
            <w:r w:rsidRPr="00053F22">
              <w:rPr>
                <w:rStyle w:val="IntenseEmphasis"/>
                <w:lang w:val="en-GB"/>
              </w:rPr>
              <w:t>Whether personal data are transferred outside the EU/EEA area</w:t>
            </w:r>
          </w:p>
        </w:tc>
      </w:tr>
      <w:tr w:rsidR="00FC2400" w:rsidRPr="00FC2400" w14:paraId="552B232D" w14:textId="77777777" w:rsidTr="00A63EA2">
        <w:trPr>
          <w:cantSplit/>
          <w:trHeight w:val="1271"/>
        </w:trPr>
        <w:tc>
          <w:tcPr>
            <w:tcW w:w="788" w:type="pct"/>
          </w:tcPr>
          <w:p w14:paraId="05174B69" w14:textId="4F7E04F5" w:rsidR="00FC2400" w:rsidRPr="003D5CB3" w:rsidRDefault="00FC2400" w:rsidP="003D5CB3">
            <w:pPr>
              <w:pStyle w:val="ListParagraph"/>
              <w:numPr>
                <w:ilvl w:val="0"/>
                <w:numId w:val="18"/>
              </w:numPr>
              <w:rPr>
                <w:lang w:val="en-GB"/>
              </w:rPr>
            </w:pPr>
            <w:proofErr w:type="spellStart"/>
            <w:r w:rsidRPr="00470F5C">
              <w:rPr>
                <w:b/>
                <w:bCs/>
              </w:rPr>
              <w:t>DeepL</w:t>
            </w:r>
            <w:proofErr w:type="spellEnd"/>
            <w:r w:rsidRPr="00470F5C">
              <w:rPr>
                <w:b/>
                <w:bCs/>
              </w:rPr>
              <w:t xml:space="preserve"> SE </w:t>
            </w:r>
            <w:proofErr w:type="spellStart"/>
            <w:r w:rsidRPr="00470F5C">
              <w:t>Maarweg</w:t>
            </w:r>
            <w:proofErr w:type="spellEnd"/>
            <w:r w:rsidRPr="00470F5C">
              <w:t xml:space="preserve"> 165 50825 </w:t>
            </w:r>
            <w:proofErr w:type="spellStart"/>
            <w:r w:rsidRPr="00470F5C">
              <w:t>Cologne</w:t>
            </w:r>
            <w:proofErr w:type="spellEnd"/>
            <w:r w:rsidRPr="00470F5C">
              <w:t xml:space="preserve"> Germany</w:t>
            </w:r>
          </w:p>
        </w:tc>
        <w:tc>
          <w:tcPr>
            <w:tcW w:w="900" w:type="pct"/>
          </w:tcPr>
          <w:p w14:paraId="69B4AB19" w14:textId="2A5958B6" w:rsidR="00FC2400" w:rsidRDefault="00FC2400" w:rsidP="00DE096B">
            <w:pPr>
              <w:rPr>
                <w:lang w:val="en-GB"/>
              </w:rPr>
            </w:pPr>
            <w:r>
              <w:rPr>
                <w:lang w:val="en-GB"/>
              </w:rPr>
              <w:t>Translation tool</w:t>
            </w:r>
          </w:p>
        </w:tc>
        <w:tc>
          <w:tcPr>
            <w:tcW w:w="1780" w:type="pct"/>
          </w:tcPr>
          <w:p w14:paraId="0873B810" w14:textId="77777777" w:rsidR="00FC2400" w:rsidRDefault="00FC2400" w:rsidP="003D5CB3">
            <w:pPr>
              <w:rPr>
                <w:lang w:val="en-US"/>
              </w:rPr>
            </w:pPr>
            <w:r>
              <w:rPr>
                <w:lang w:val="en-US"/>
              </w:rPr>
              <w:t>Translations, user data and texts translated</w:t>
            </w:r>
          </w:p>
          <w:p w14:paraId="0FB4E414" w14:textId="77777777" w:rsidR="00FC2400" w:rsidRDefault="00FC2400" w:rsidP="003D5CB3">
            <w:pPr>
              <w:rPr>
                <w:lang w:val="en-US"/>
              </w:rPr>
            </w:pPr>
          </w:p>
          <w:p w14:paraId="5314C183" w14:textId="1C09BCF1" w:rsidR="00FC2400" w:rsidRPr="00E52B6E" w:rsidRDefault="00FC2400" w:rsidP="003D5CB3">
            <w:pPr>
              <w:rPr>
                <w:lang w:val="en-US"/>
              </w:rPr>
            </w:pPr>
            <w:r w:rsidRPr="00FC2400">
              <w:rPr>
                <w:lang w:val="en-US"/>
              </w:rPr>
              <w:t xml:space="preserve">JYU employee, </w:t>
            </w:r>
            <w:r>
              <w:rPr>
                <w:lang w:val="en-US"/>
              </w:rPr>
              <w:t xml:space="preserve">look at the table of processing </w:t>
            </w:r>
            <w:r w:rsidRPr="00FC2400">
              <w:rPr>
                <w:lang w:val="en-US"/>
              </w:rPr>
              <w:t>confidential</w:t>
            </w:r>
            <w:r>
              <w:rPr>
                <w:lang w:val="en-US"/>
              </w:rPr>
              <w:t xml:space="preserve"> information</w:t>
            </w:r>
            <w:r w:rsidRPr="00FC2400">
              <w:rPr>
                <w:lang w:val="en-US"/>
              </w:rPr>
              <w:t xml:space="preserve">; processing of personal data in this service is only permitted with a </w:t>
            </w:r>
            <w:proofErr w:type="gramStart"/>
            <w:r w:rsidRPr="00FC2400">
              <w:rPr>
                <w:lang w:val="en-US"/>
              </w:rPr>
              <w:t>license</w:t>
            </w:r>
            <w:r>
              <w:rPr>
                <w:lang w:val="en-US"/>
              </w:rPr>
              <w:t>d users</w:t>
            </w:r>
            <w:r w:rsidRPr="00FC2400">
              <w:rPr>
                <w:lang w:val="en-US"/>
              </w:rPr>
              <w:t xml:space="preserve"> (not in the free version)</w:t>
            </w:r>
            <w:proofErr w:type="gramEnd"/>
          </w:p>
        </w:tc>
        <w:tc>
          <w:tcPr>
            <w:tcW w:w="1532" w:type="pct"/>
          </w:tcPr>
          <w:p w14:paraId="5E5099DA" w14:textId="5A918960" w:rsidR="00FC2400" w:rsidRDefault="00FC2400" w:rsidP="00DE096B">
            <w:pPr>
              <w:rPr>
                <w:lang w:val="en-GB"/>
              </w:rPr>
            </w:pPr>
            <w:r>
              <w:rPr>
                <w:lang w:val="en-GB"/>
              </w:rPr>
              <w:t>No</w:t>
            </w:r>
          </w:p>
        </w:tc>
      </w:tr>
      <w:tr w:rsidR="009C2781" w:rsidRPr="00DE096B" w14:paraId="7671CFAE" w14:textId="5A42F53A" w:rsidTr="00A63EA2">
        <w:trPr>
          <w:cantSplit/>
          <w:trHeight w:val="1271"/>
        </w:trPr>
        <w:tc>
          <w:tcPr>
            <w:tcW w:w="788" w:type="pct"/>
          </w:tcPr>
          <w:p w14:paraId="774B3A2C" w14:textId="09F09B8A" w:rsidR="009C2781" w:rsidRPr="003D5CB3" w:rsidRDefault="009C2781" w:rsidP="003D5CB3">
            <w:pPr>
              <w:pStyle w:val="ListParagraph"/>
              <w:numPr>
                <w:ilvl w:val="0"/>
                <w:numId w:val="18"/>
              </w:numPr>
              <w:rPr>
                <w:lang w:val="en-US"/>
              </w:rPr>
            </w:pPr>
            <w:proofErr w:type="spellStart"/>
            <w:r w:rsidRPr="003D5CB3">
              <w:rPr>
                <w:lang w:val="en-GB"/>
              </w:rPr>
              <w:t>Digivisio</w:t>
            </w:r>
            <w:proofErr w:type="spellEnd"/>
            <w:r w:rsidRPr="003D5CB3">
              <w:rPr>
                <w:lang w:val="en-GB"/>
              </w:rPr>
              <w:t xml:space="preserve">, Opin.fi pilot use, </w:t>
            </w:r>
            <w:proofErr w:type="gramStart"/>
            <w:r w:rsidRPr="003D5CB3">
              <w:rPr>
                <w:lang w:val="en-US"/>
              </w:rPr>
              <w:t>All</w:t>
            </w:r>
            <w:proofErr w:type="gramEnd"/>
            <w:r w:rsidRPr="003D5CB3">
              <w:rPr>
                <w:lang w:val="en-US"/>
              </w:rPr>
              <w:t xml:space="preserve"> other higher education institutions in Finland </w:t>
            </w:r>
            <w:r>
              <w:rPr>
                <w:lang w:val="en-US"/>
              </w:rPr>
              <w:t xml:space="preserve">are data processors </w:t>
            </w:r>
            <w:r w:rsidRPr="003D5CB3">
              <w:rPr>
                <w:lang w:val="en-US"/>
              </w:rPr>
              <w:t xml:space="preserve">(excluding national </w:t>
            </w:r>
            <w:r w:rsidR="00E9538A" w:rsidRPr="003D5CB3">
              <w:rPr>
                <w:lang w:val="en-US"/>
              </w:rPr>
              <w:t>defense</w:t>
            </w:r>
            <w:r w:rsidRPr="003D5CB3">
              <w:rPr>
                <w:lang w:val="en-US"/>
              </w:rPr>
              <w:t xml:space="preserve"> university)</w:t>
            </w:r>
          </w:p>
        </w:tc>
        <w:tc>
          <w:tcPr>
            <w:tcW w:w="900" w:type="pct"/>
          </w:tcPr>
          <w:p w14:paraId="1C03A937" w14:textId="3CD031A4" w:rsidR="009C2781" w:rsidRPr="00053F22" w:rsidRDefault="009C2781" w:rsidP="00DE096B">
            <w:pPr>
              <w:rPr>
                <w:lang w:val="en-GB"/>
              </w:rPr>
            </w:pPr>
            <w:r>
              <w:rPr>
                <w:lang w:val="en-GB"/>
              </w:rPr>
              <w:t>Pilot use of opin.fi platform</w:t>
            </w:r>
          </w:p>
        </w:tc>
        <w:tc>
          <w:tcPr>
            <w:tcW w:w="1780" w:type="pct"/>
          </w:tcPr>
          <w:p w14:paraId="6DD4DA63" w14:textId="77777777" w:rsidR="009C2781" w:rsidRPr="00E52B6E" w:rsidRDefault="009C2781" w:rsidP="003D5CB3">
            <w:pPr>
              <w:rPr>
                <w:lang w:val="en-US"/>
              </w:rPr>
            </w:pPr>
            <w:r w:rsidRPr="00E52B6E">
              <w:rPr>
                <w:lang w:val="en-US"/>
              </w:rPr>
              <w:t xml:space="preserve">The pilot will involve experts from the Parties' staff, who will test the service in development and testing environments as part of their duties. In these environments, they will be able to view the data provided by the University of Jyväskylä. The purpose of the processing is to enable the implementation of Pilot. The personal data will be processed until the </w:t>
            </w:r>
            <w:proofErr w:type="spellStart"/>
            <w:r w:rsidRPr="00E52B6E">
              <w:rPr>
                <w:lang w:val="en-US"/>
              </w:rPr>
              <w:t>Digivisio</w:t>
            </w:r>
            <w:proofErr w:type="spellEnd"/>
            <w:r w:rsidRPr="00E52B6E">
              <w:rPr>
                <w:lang w:val="en-US"/>
              </w:rPr>
              <w:t xml:space="preserve"> project steering group declares the Pilot to have ended or until 31 March 2025 at the latest.</w:t>
            </w:r>
          </w:p>
          <w:p w14:paraId="19CAED45" w14:textId="77777777" w:rsidR="009C2781" w:rsidRPr="00E52B6E" w:rsidRDefault="009C2781" w:rsidP="003D5CB3">
            <w:pPr>
              <w:pStyle w:val="ListParagraph"/>
              <w:numPr>
                <w:ilvl w:val="0"/>
                <w:numId w:val="21"/>
              </w:numPr>
              <w:spacing w:line="252" w:lineRule="auto"/>
              <w:rPr>
                <w:lang w:val="en-US"/>
              </w:rPr>
            </w:pPr>
            <w:r w:rsidRPr="00E52B6E">
              <w:rPr>
                <w:lang w:val="en-US"/>
              </w:rPr>
              <w:t>Textual name (first name, surname, title/title) and e-mail address of the staff of the controller.</w:t>
            </w:r>
          </w:p>
          <w:p w14:paraId="18FD39B9" w14:textId="77777777" w:rsidR="009C2781" w:rsidRPr="00E52B6E" w:rsidRDefault="009C2781" w:rsidP="003D5CB3">
            <w:pPr>
              <w:pStyle w:val="ListParagraph"/>
              <w:numPr>
                <w:ilvl w:val="0"/>
                <w:numId w:val="21"/>
              </w:numPr>
              <w:spacing w:line="252" w:lineRule="auto"/>
              <w:rPr>
                <w:lang w:val="en-US"/>
              </w:rPr>
            </w:pPr>
            <w:r w:rsidRPr="00E52B6E">
              <w:rPr>
                <w:lang w:val="en-US"/>
              </w:rPr>
              <w:t>Category(</w:t>
            </w:r>
            <w:proofErr w:type="spellStart"/>
            <w:r w:rsidRPr="00E52B6E">
              <w:rPr>
                <w:lang w:val="en-US"/>
              </w:rPr>
              <w:t>ies</w:t>
            </w:r>
            <w:proofErr w:type="spellEnd"/>
            <w:r w:rsidRPr="00E52B6E">
              <w:rPr>
                <w:lang w:val="en-US"/>
              </w:rPr>
              <w:t>) of data subjects: staff</w:t>
            </w:r>
          </w:p>
          <w:p w14:paraId="459C36E3" w14:textId="77777777" w:rsidR="009C2781" w:rsidRPr="00E52B6E" w:rsidRDefault="009C2781" w:rsidP="003D5CB3">
            <w:pPr>
              <w:pStyle w:val="ListParagraph"/>
              <w:numPr>
                <w:ilvl w:val="0"/>
                <w:numId w:val="21"/>
              </w:numPr>
              <w:spacing w:line="252" w:lineRule="auto"/>
              <w:rPr>
                <w:lang w:val="en-US"/>
              </w:rPr>
            </w:pPr>
            <w:r w:rsidRPr="00E52B6E">
              <w:rPr>
                <w:lang w:val="en-US"/>
              </w:rPr>
              <w:t>Type of personal data: names, contact details</w:t>
            </w:r>
          </w:p>
          <w:p w14:paraId="537F66F1" w14:textId="77777777" w:rsidR="009C2781" w:rsidRPr="003D5CB3" w:rsidRDefault="009C2781" w:rsidP="00DE096B">
            <w:pPr>
              <w:rPr>
                <w:lang w:val="en-US"/>
              </w:rPr>
            </w:pPr>
          </w:p>
        </w:tc>
        <w:tc>
          <w:tcPr>
            <w:tcW w:w="1532" w:type="pct"/>
          </w:tcPr>
          <w:p w14:paraId="599CFBB9" w14:textId="59C0C26F" w:rsidR="009C2781" w:rsidRPr="00053F22" w:rsidRDefault="009C2781" w:rsidP="00DE096B">
            <w:pPr>
              <w:rPr>
                <w:lang w:val="en-GB"/>
              </w:rPr>
            </w:pPr>
            <w:r>
              <w:rPr>
                <w:lang w:val="en-GB"/>
              </w:rPr>
              <w:t>No</w:t>
            </w:r>
          </w:p>
        </w:tc>
      </w:tr>
      <w:tr w:rsidR="009C2781" w:rsidRPr="00DE096B" w14:paraId="0CBFCB85" w14:textId="3D23191E" w:rsidTr="00A63EA2">
        <w:trPr>
          <w:cantSplit/>
          <w:trHeight w:val="1271"/>
        </w:trPr>
        <w:tc>
          <w:tcPr>
            <w:tcW w:w="788" w:type="pct"/>
          </w:tcPr>
          <w:p w14:paraId="29BBBB73" w14:textId="6B9D11C4" w:rsidR="009C2781" w:rsidRPr="003D5CB3" w:rsidRDefault="009C2781" w:rsidP="003D5CB3">
            <w:pPr>
              <w:pStyle w:val="ListParagraph"/>
              <w:numPr>
                <w:ilvl w:val="0"/>
                <w:numId w:val="18"/>
              </w:numPr>
              <w:rPr>
                <w:lang w:val="en-GB"/>
              </w:rPr>
            </w:pPr>
            <w:proofErr w:type="spellStart"/>
            <w:r w:rsidRPr="003D5CB3">
              <w:rPr>
                <w:lang w:val="en-GB"/>
              </w:rPr>
              <w:lastRenderedPageBreak/>
              <w:t>Disec</w:t>
            </w:r>
            <w:proofErr w:type="spellEnd"/>
            <w:r w:rsidRPr="003D5CB3">
              <w:rPr>
                <w:lang w:val="en-GB"/>
              </w:rPr>
              <w:t>, YKSA</w:t>
            </w:r>
          </w:p>
        </w:tc>
        <w:tc>
          <w:tcPr>
            <w:tcW w:w="900" w:type="pct"/>
          </w:tcPr>
          <w:p w14:paraId="2212EA52" w14:textId="20822902" w:rsidR="009C2781" w:rsidRDefault="009C2781" w:rsidP="00DE096B">
            <w:pPr>
              <w:rPr>
                <w:lang w:val="en-GB"/>
              </w:rPr>
            </w:pPr>
            <w:r>
              <w:rPr>
                <w:lang w:val="en-GB"/>
              </w:rPr>
              <w:t>Archiving, data management</w:t>
            </w:r>
          </w:p>
        </w:tc>
        <w:tc>
          <w:tcPr>
            <w:tcW w:w="1780" w:type="pct"/>
          </w:tcPr>
          <w:p w14:paraId="4AB40077" w14:textId="77777777" w:rsidR="009C2781" w:rsidRPr="00E52B6E" w:rsidRDefault="009C2781" w:rsidP="003D5CB3">
            <w:pPr>
              <w:rPr>
                <w:lang w:val="en-US"/>
              </w:rPr>
            </w:pPr>
          </w:p>
        </w:tc>
        <w:tc>
          <w:tcPr>
            <w:tcW w:w="1532" w:type="pct"/>
          </w:tcPr>
          <w:p w14:paraId="7682A34E" w14:textId="16C579B5" w:rsidR="009C2781" w:rsidRDefault="009C2781" w:rsidP="00DE096B">
            <w:pPr>
              <w:rPr>
                <w:lang w:val="en-GB"/>
              </w:rPr>
            </w:pPr>
            <w:r>
              <w:rPr>
                <w:lang w:val="en-GB"/>
              </w:rPr>
              <w:t>No</w:t>
            </w:r>
          </w:p>
        </w:tc>
      </w:tr>
      <w:tr w:rsidR="00BE3367" w:rsidRPr="00502BC9" w14:paraId="19515051" w14:textId="77777777" w:rsidTr="00A63EA2">
        <w:trPr>
          <w:cantSplit/>
          <w:trHeight w:val="1271"/>
        </w:trPr>
        <w:tc>
          <w:tcPr>
            <w:tcW w:w="788" w:type="pct"/>
          </w:tcPr>
          <w:p w14:paraId="5F82EBB2" w14:textId="77777777" w:rsidR="00BE3367" w:rsidRPr="00D41B45" w:rsidRDefault="00BE3367" w:rsidP="00BE3367">
            <w:pPr>
              <w:pStyle w:val="ListParagraph"/>
              <w:numPr>
                <w:ilvl w:val="0"/>
                <w:numId w:val="18"/>
              </w:numPr>
            </w:pPr>
            <w:proofErr w:type="spellStart"/>
            <w:r w:rsidRPr="00D41B45">
              <w:t>DistillerSR</w:t>
            </w:r>
            <w:proofErr w:type="spellEnd"/>
            <w:r w:rsidRPr="00D41B45">
              <w:t xml:space="preserve"> Inc.</w:t>
            </w:r>
          </w:p>
          <w:p w14:paraId="60C51909" w14:textId="77777777" w:rsidR="00BE3367" w:rsidRPr="003D5CB3" w:rsidRDefault="00BE3367" w:rsidP="00BE3367">
            <w:pPr>
              <w:pStyle w:val="ListParagraph"/>
              <w:rPr>
                <w:lang w:val="en-GB"/>
              </w:rPr>
            </w:pPr>
          </w:p>
        </w:tc>
        <w:tc>
          <w:tcPr>
            <w:tcW w:w="900" w:type="pct"/>
          </w:tcPr>
          <w:p w14:paraId="045E4C9C" w14:textId="2B863DCA" w:rsidR="00BE3367" w:rsidRDefault="00BE3367" w:rsidP="00DE096B">
            <w:pPr>
              <w:rPr>
                <w:lang w:val="en-GB"/>
              </w:rPr>
            </w:pPr>
            <w:r w:rsidRPr="00BE3367">
              <w:rPr>
                <w:lang w:val="en-GB"/>
              </w:rPr>
              <w:t>Literature reviews</w:t>
            </w:r>
          </w:p>
        </w:tc>
        <w:tc>
          <w:tcPr>
            <w:tcW w:w="1780" w:type="pct"/>
          </w:tcPr>
          <w:p w14:paraId="330B4D36" w14:textId="78BB2627" w:rsidR="00BE3367" w:rsidRPr="00BE3367" w:rsidRDefault="00BE3367" w:rsidP="00BE3367">
            <w:pPr>
              <w:rPr>
                <w:lang w:val="en-US"/>
              </w:rPr>
            </w:pPr>
            <w:r w:rsidRPr="00BE3367">
              <w:rPr>
                <w:b/>
                <w:bCs/>
                <w:lang w:val="en-US"/>
              </w:rPr>
              <w:t>Purposes of processing:</w:t>
            </w:r>
            <w:r w:rsidRPr="00BE3367">
              <w:rPr>
                <w:lang w:val="en-US"/>
              </w:rPr>
              <w:t xml:space="preserve"> </w:t>
            </w:r>
            <w:proofErr w:type="spellStart"/>
            <w:r w:rsidRPr="00BE3367">
              <w:rPr>
                <w:lang w:val="en-US"/>
              </w:rPr>
              <w:t>DistillerSR</w:t>
            </w:r>
            <w:proofErr w:type="spellEnd"/>
            <w:r w:rsidRPr="00BE3367">
              <w:rPr>
                <w:lang w:val="en-US"/>
              </w:rPr>
              <w:t xml:space="preserve"> automates the management of literature collection, screening and evaluation using artificial intelligence and intelligent workflows. It is used especially in the preparation of systematic literature reviews and meta-analyses. To use the service, the user needs access rights.</w:t>
            </w:r>
          </w:p>
          <w:p w14:paraId="539DEFB3" w14:textId="77777777" w:rsidR="00BE3367" w:rsidRPr="00BE3367" w:rsidRDefault="00BE3367" w:rsidP="00BE3367">
            <w:pPr>
              <w:rPr>
                <w:lang w:val="en-US"/>
              </w:rPr>
            </w:pPr>
          </w:p>
          <w:p w14:paraId="30ADA416" w14:textId="6D01931F" w:rsidR="00BE3367" w:rsidRPr="00E52B6E" w:rsidRDefault="00BE3367" w:rsidP="00BE3367">
            <w:pPr>
              <w:rPr>
                <w:lang w:val="en-US"/>
              </w:rPr>
            </w:pPr>
            <w:r w:rsidRPr="00BE3367">
              <w:rPr>
                <w:lang w:val="en-US"/>
              </w:rPr>
              <w:t>Suitable only for processing public information (such as the name of the author of the published article).</w:t>
            </w:r>
          </w:p>
        </w:tc>
        <w:tc>
          <w:tcPr>
            <w:tcW w:w="1532" w:type="pct"/>
          </w:tcPr>
          <w:p w14:paraId="74037D14" w14:textId="73E02F5A" w:rsidR="00BE3367" w:rsidRPr="00BE3367" w:rsidRDefault="00BE3367" w:rsidP="00BE3367">
            <w:pPr>
              <w:rPr>
                <w:lang w:val="en-GB"/>
              </w:rPr>
            </w:pPr>
            <w:r w:rsidRPr="00BE3367">
              <w:rPr>
                <w:lang w:val="en-GB"/>
              </w:rPr>
              <w:t xml:space="preserve">United States and Canada, EU Commission's standard contractual clauses are used as safeguards. </w:t>
            </w:r>
          </w:p>
          <w:p w14:paraId="44E25D9A" w14:textId="77777777" w:rsidR="00BE3367" w:rsidRPr="00BE3367" w:rsidRDefault="00BE3367" w:rsidP="00BE3367">
            <w:pPr>
              <w:rPr>
                <w:lang w:val="en-GB"/>
              </w:rPr>
            </w:pPr>
          </w:p>
          <w:p w14:paraId="107CA84D" w14:textId="3B2DC82B" w:rsidR="00BE3367" w:rsidRDefault="00BE3367" w:rsidP="00BE3367">
            <w:pPr>
              <w:rPr>
                <w:lang w:val="en-GB"/>
              </w:rPr>
            </w:pPr>
            <w:r w:rsidRPr="00BE3367">
              <w:rPr>
                <w:lang w:val="en-GB"/>
              </w:rPr>
              <w:t>User data: name, role, access rights and contact information.</w:t>
            </w:r>
          </w:p>
        </w:tc>
      </w:tr>
      <w:tr w:rsidR="00050D40" w:rsidRPr="00502BC9" w14:paraId="5213B7E2" w14:textId="77777777" w:rsidTr="00A63EA2">
        <w:trPr>
          <w:cantSplit/>
          <w:trHeight w:val="1271"/>
        </w:trPr>
        <w:tc>
          <w:tcPr>
            <w:tcW w:w="788" w:type="pct"/>
          </w:tcPr>
          <w:p w14:paraId="72BA22BD" w14:textId="4A24657C" w:rsidR="00050D40" w:rsidRPr="00050D40" w:rsidRDefault="00050D40" w:rsidP="00BE3367">
            <w:pPr>
              <w:pStyle w:val="ListParagraph"/>
              <w:numPr>
                <w:ilvl w:val="0"/>
                <w:numId w:val="18"/>
              </w:numPr>
              <w:rPr>
                <w:lang w:val="en-US"/>
              </w:rPr>
            </w:pPr>
            <w:proofErr w:type="spellStart"/>
            <w:r>
              <w:rPr>
                <w:lang w:val="en-US"/>
              </w:rPr>
              <w:t>Doseco</w:t>
            </w:r>
            <w:proofErr w:type="spellEnd"/>
            <w:r>
              <w:rPr>
                <w:lang w:val="en-US"/>
              </w:rPr>
              <w:t xml:space="preserve"> Oy</w:t>
            </w:r>
          </w:p>
        </w:tc>
        <w:tc>
          <w:tcPr>
            <w:tcW w:w="900" w:type="pct"/>
          </w:tcPr>
          <w:p w14:paraId="69D3A272" w14:textId="049CC135" w:rsidR="00050D40" w:rsidRPr="00BE3367" w:rsidRDefault="00050D40" w:rsidP="00DE096B">
            <w:pPr>
              <w:rPr>
                <w:lang w:val="en-GB"/>
              </w:rPr>
            </w:pPr>
            <w:r>
              <w:rPr>
                <w:lang w:val="en-GB"/>
              </w:rPr>
              <w:t>Radiation measurements</w:t>
            </w:r>
          </w:p>
        </w:tc>
        <w:tc>
          <w:tcPr>
            <w:tcW w:w="1780" w:type="pct"/>
          </w:tcPr>
          <w:p w14:paraId="21D9F486" w14:textId="516332D8" w:rsidR="00050D40" w:rsidRPr="00050D40" w:rsidRDefault="00050D40" w:rsidP="00050D40">
            <w:pPr>
              <w:rPr>
                <w:lang w:val="en-US"/>
              </w:rPr>
            </w:pPr>
            <w:r w:rsidRPr="00050D40">
              <w:rPr>
                <w:lang w:val="en-US"/>
              </w:rPr>
              <w:t>Employers have</w:t>
            </w:r>
            <w:r>
              <w:rPr>
                <w:lang w:val="en-US"/>
              </w:rPr>
              <w:t xml:space="preserve"> </w:t>
            </w:r>
            <w:r w:rsidRPr="00050D40">
              <w:rPr>
                <w:lang w:val="en-US"/>
              </w:rPr>
              <w:t xml:space="preserve">a legal obligation to monitor the radiation exposure of their employees who are exposed to radiation. </w:t>
            </w:r>
            <w:proofErr w:type="spellStart"/>
            <w:r w:rsidRPr="00050D40">
              <w:rPr>
                <w:lang w:val="en-US"/>
              </w:rPr>
              <w:t>Doseco</w:t>
            </w:r>
            <w:proofErr w:type="spellEnd"/>
            <w:r w:rsidRPr="00050D40">
              <w:rPr>
                <w:lang w:val="en-US"/>
              </w:rPr>
              <w:t xml:space="preserve"> offers its customers a dose</w:t>
            </w:r>
            <w:r>
              <w:rPr>
                <w:lang w:val="en-US"/>
              </w:rPr>
              <w:t xml:space="preserve"> </w:t>
            </w:r>
            <w:r w:rsidRPr="00050D40">
              <w:rPr>
                <w:lang w:val="en-US"/>
              </w:rPr>
              <w:t>measurement service.</w:t>
            </w:r>
            <w:r>
              <w:rPr>
                <w:lang w:val="en-US"/>
              </w:rPr>
              <w:t xml:space="preserve"> Personal data processed: </w:t>
            </w:r>
            <w:r w:rsidRPr="00050D40">
              <w:rPr>
                <w:lang w:val="en-US"/>
              </w:rPr>
              <w:t xml:space="preserve">identification </w:t>
            </w:r>
            <w:r w:rsidR="007B7F2D">
              <w:rPr>
                <w:lang w:val="en-US"/>
              </w:rPr>
              <w:t xml:space="preserve">information </w:t>
            </w:r>
            <w:r w:rsidRPr="00050D40">
              <w:rPr>
                <w:lang w:val="en-US"/>
              </w:rPr>
              <w:t>and information related to dose monitoring.</w:t>
            </w:r>
          </w:p>
          <w:p w14:paraId="770BDDEE" w14:textId="542E3700" w:rsidR="00050D40" w:rsidRPr="00050D40" w:rsidRDefault="00050D40" w:rsidP="00050D40">
            <w:pPr>
              <w:rPr>
                <w:lang w:val="en-US"/>
              </w:rPr>
            </w:pPr>
          </w:p>
        </w:tc>
        <w:tc>
          <w:tcPr>
            <w:tcW w:w="1532" w:type="pct"/>
          </w:tcPr>
          <w:p w14:paraId="40128B65" w14:textId="77777777" w:rsidR="00050D40" w:rsidRDefault="00050D40" w:rsidP="00BE3367">
            <w:pPr>
              <w:rPr>
                <w:lang w:val="en-GB"/>
              </w:rPr>
            </w:pPr>
            <w:r>
              <w:rPr>
                <w:lang w:val="en-GB"/>
              </w:rPr>
              <w:t>No data transfers outside the EEA.</w:t>
            </w:r>
          </w:p>
          <w:p w14:paraId="4FCAE31D" w14:textId="77777777" w:rsidR="00050D40" w:rsidRDefault="00050D40" w:rsidP="00BE3367">
            <w:pPr>
              <w:rPr>
                <w:lang w:val="en-GB"/>
              </w:rPr>
            </w:pPr>
          </w:p>
          <w:p w14:paraId="1D4DF098" w14:textId="49C963A2" w:rsidR="00050D40" w:rsidRPr="00BE3367" w:rsidRDefault="00050D40" w:rsidP="00BE3367">
            <w:pPr>
              <w:rPr>
                <w:lang w:val="en-GB"/>
              </w:rPr>
            </w:pPr>
            <w:r w:rsidRPr="00050D40">
              <w:rPr>
                <w:lang w:val="en-GB"/>
              </w:rPr>
              <w:t xml:space="preserve">Dose monitoring data is submitted to the national dose register maintained by STUK. The Radiation and Nuclear Safety Authority </w:t>
            </w:r>
            <w:proofErr w:type="gramStart"/>
            <w:r w:rsidRPr="00050D40">
              <w:rPr>
                <w:lang w:val="en-GB"/>
              </w:rPr>
              <w:t>supervises</w:t>
            </w:r>
            <w:proofErr w:type="gramEnd"/>
            <w:r w:rsidRPr="00050D40">
              <w:rPr>
                <w:lang w:val="en-GB"/>
              </w:rPr>
              <w:t xml:space="preserve"> compliance with the Radiation Act and the Nuclear Energy Act and the regulations and provisions issued under them.</w:t>
            </w:r>
          </w:p>
        </w:tc>
      </w:tr>
      <w:tr w:rsidR="009C2781" w:rsidRPr="00502BC9" w14:paraId="7D6CA0C2" w14:textId="1578529A" w:rsidTr="00A63EA2">
        <w:trPr>
          <w:cantSplit/>
          <w:trHeight w:val="1271"/>
        </w:trPr>
        <w:tc>
          <w:tcPr>
            <w:tcW w:w="788" w:type="pct"/>
          </w:tcPr>
          <w:p w14:paraId="20038D8D" w14:textId="77777777" w:rsidR="009C2781" w:rsidRPr="00053F22" w:rsidRDefault="009C2781" w:rsidP="00DE096B">
            <w:pPr>
              <w:pStyle w:val="ListParagraph"/>
              <w:numPr>
                <w:ilvl w:val="0"/>
                <w:numId w:val="18"/>
              </w:numPr>
              <w:rPr>
                <w:lang w:val="en-GB"/>
              </w:rPr>
            </w:pPr>
            <w:proofErr w:type="spellStart"/>
            <w:r w:rsidRPr="00053F22">
              <w:rPr>
                <w:lang w:val="en-GB"/>
              </w:rPr>
              <w:t>Dreambroker</w:t>
            </w:r>
            <w:proofErr w:type="spellEnd"/>
            <w:r w:rsidRPr="00053F22">
              <w:rPr>
                <w:lang w:val="en-GB"/>
              </w:rPr>
              <w:t>, Online Video Software Company</w:t>
            </w:r>
          </w:p>
        </w:tc>
        <w:tc>
          <w:tcPr>
            <w:tcW w:w="900" w:type="pct"/>
          </w:tcPr>
          <w:p w14:paraId="31511916" w14:textId="27ECB656" w:rsidR="009C2781" w:rsidRPr="00053F22" w:rsidRDefault="009C2781" w:rsidP="00DE096B">
            <w:pPr>
              <w:rPr>
                <w:lang w:val="en-GB"/>
              </w:rPr>
            </w:pPr>
            <w:r w:rsidRPr="00053F22">
              <w:rPr>
                <w:lang w:val="en-GB"/>
              </w:rPr>
              <w:t>Video production</w:t>
            </w:r>
          </w:p>
        </w:tc>
        <w:tc>
          <w:tcPr>
            <w:tcW w:w="1780" w:type="pct"/>
          </w:tcPr>
          <w:p w14:paraId="435A22D4" w14:textId="23A261FC" w:rsidR="009C2781" w:rsidRPr="00053F22" w:rsidRDefault="009C2781" w:rsidP="00DE096B">
            <w:pPr>
              <w:rPr>
                <w:lang w:val="en-GB"/>
              </w:rPr>
            </w:pPr>
            <w:r w:rsidRPr="00053F22">
              <w:rPr>
                <w:lang w:val="en-GB"/>
              </w:rPr>
              <w:t xml:space="preserve">A cloud service enabling internal and external sharing of video records (e.g. YouTube integration). Video recording, editing and publishing can be made by a mobile device. </w:t>
            </w:r>
          </w:p>
        </w:tc>
        <w:tc>
          <w:tcPr>
            <w:tcW w:w="1532" w:type="pct"/>
          </w:tcPr>
          <w:p w14:paraId="73F6F93A" w14:textId="1B5986E1" w:rsidR="009C2781" w:rsidRPr="00053F22" w:rsidRDefault="009C2781" w:rsidP="00DE096B">
            <w:pPr>
              <w:rPr>
                <w:lang w:val="en-GB"/>
              </w:rPr>
            </w:pPr>
            <w:r w:rsidRPr="00053F22">
              <w:rPr>
                <w:lang w:val="en-GB"/>
              </w:rPr>
              <w:t>Not transferred.</w:t>
            </w:r>
          </w:p>
          <w:p w14:paraId="64C41A95" w14:textId="77777777" w:rsidR="009C2781" w:rsidRPr="00053F22" w:rsidRDefault="009C2781" w:rsidP="00DE096B">
            <w:pPr>
              <w:rPr>
                <w:lang w:val="en-GB"/>
              </w:rPr>
            </w:pPr>
          </w:p>
          <w:p w14:paraId="523CB15A" w14:textId="3670EDE2" w:rsidR="009C2781" w:rsidRPr="00053F22" w:rsidRDefault="009C2781" w:rsidP="00DE096B">
            <w:pPr>
              <w:rPr>
                <w:lang w:val="en-GB"/>
              </w:rPr>
            </w:pPr>
            <w:r w:rsidRPr="00053F22">
              <w:rPr>
                <w:lang w:val="en-GB"/>
              </w:rPr>
              <w:t>Published videos are freely available to any</w:t>
            </w:r>
            <w:r w:rsidR="00A63EA2">
              <w:rPr>
                <w:lang w:val="en-GB"/>
              </w:rPr>
              <w:t>one everywhere with access to Internet.</w:t>
            </w:r>
          </w:p>
        </w:tc>
      </w:tr>
      <w:tr w:rsidR="009C2781" w:rsidRPr="00053F22" w14:paraId="3FA7CF51" w14:textId="25130920" w:rsidTr="00A63EA2">
        <w:trPr>
          <w:trHeight w:val="269"/>
        </w:trPr>
        <w:tc>
          <w:tcPr>
            <w:tcW w:w="788" w:type="pct"/>
          </w:tcPr>
          <w:p w14:paraId="4B60353A" w14:textId="3F543760" w:rsidR="009C2781" w:rsidRPr="00053F22" w:rsidRDefault="009C2781" w:rsidP="00DE096B">
            <w:pPr>
              <w:pStyle w:val="ListParagraph"/>
              <w:numPr>
                <w:ilvl w:val="0"/>
                <w:numId w:val="18"/>
              </w:numPr>
              <w:rPr>
                <w:lang w:val="en-GB"/>
              </w:rPr>
            </w:pPr>
            <w:r w:rsidRPr="00053F22">
              <w:rPr>
                <w:lang w:val="en-GB"/>
              </w:rPr>
              <w:t>Dynasty, Innofactor</w:t>
            </w:r>
          </w:p>
        </w:tc>
        <w:tc>
          <w:tcPr>
            <w:tcW w:w="900" w:type="pct"/>
          </w:tcPr>
          <w:p w14:paraId="6F1C48BA" w14:textId="03FDD297" w:rsidR="009C2781" w:rsidRPr="00053F22" w:rsidRDefault="009C2781" w:rsidP="00DE096B">
            <w:pPr>
              <w:rPr>
                <w:lang w:val="en-GB"/>
              </w:rPr>
            </w:pPr>
            <w:r w:rsidRPr="00053F22">
              <w:rPr>
                <w:lang w:val="en-GB"/>
              </w:rPr>
              <w:t>Case management, a case management system</w:t>
            </w:r>
          </w:p>
          <w:p w14:paraId="5CB713ED" w14:textId="77777777" w:rsidR="009C2781" w:rsidRPr="00053F22" w:rsidRDefault="009C2781" w:rsidP="00DE096B">
            <w:pPr>
              <w:rPr>
                <w:lang w:val="en-GB"/>
              </w:rPr>
            </w:pPr>
          </w:p>
          <w:p w14:paraId="1045ED1F" w14:textId="49F5B811" w:rsidR="009C2781" w:rsidRPr="00053F22" w:rsidRDefault="009C2781" w:rsidP="00DE096B">
            <w:pPr>
              <w:rPr>
                <w:lang w:val="en-GB"/>
              </w:rPr>
            </w:pPr>
          </w:p>
        </w:tc>
        <w:tc>
          <w:tcPr>
            <w:tcW w:w="1780" w:type="pct"/>
          </w:tcPr>
          <w:p w14:paraId="44E6CA90" w14:textId="0C454FC8" w:rsidR="009C2781" w:rsidRPr="00053F22" w:rsidRDefault="009C2781" w:rsidP="00DE096B">
            <w:pPr>
              <w:rPr>
                <w:lang w:val="en-GB"/>
              </w:rPr>
            </w:pPr>
            <w:r w:rsidRPr="00053F22">
              <w:rPr>
                <w:lang w:val="en-GB"/>
              </w:rPr>
              <w:t xml:space="preserve">Data for the register are collected from the documents received by JYU and created at JYU. The submitters of documents include customers, JYU staff members </w:t>
            </w:r>
            <w:proofErr w:type="gramStart"/>
            <w:r w:rsidRPr="00053F22">
              <w:rPr>
                <w:lang w:val="en-GB"/>
              </w:rPr>
              <w:t>and also</w:t>
            </w:r>
            <w:proofErr w:type="gramEnd"/>
            <w:r w:rsidRPr="00053F22">
              <w:rPr>
                <w:lang w:val="en-GB"/>
              </w:rPr>
              <w:t xml:space="preserve"> various organisations from Finland and abroad.</w:t>
            </w:r>
          </w:p>
          <w:p w14:paraId="3831A5E7" w14:textId="7022BB2F" w:rsidR="009C2781" w:rsidRPr="00053F22" w:rsidRDefault="009C2781" w:rsidP="00DE096B">
            <w:pPr>
              <w:rPr>
                <w:lang w:val="en-GB"/>
              </w:rPr>
            </w:pPr>
          </w:p>
        </w:tc>
        <w:tc>
          <w:tcPr>
            <w:tcW w:w="1532" w:type="pct"/>
          </w:tcPr>
          <w:p w14:paraId="63B67199" w14:textId="6EB7EEDA" w:rsidR="009C2781" w:rsidRPr="00053F22" w:rsidRDefault="009C2781" w:rsidP="00DE096B">
            <w:pPr>
              <w:rPr>
                <w:lang w:val="en-GB"/>
              </w:rPr>
            </w:pPr>
            <w:r w:rsidRPr="00053F22">
              <w:rPr>
                <w:lang w:val="en-GB"/>
              </w:rPr>
              <w:lastRenderedPageBreak/>
              <w:t>Not transferred.</w:t>
            </w:r>
          </w:p>
          <w:p w14:paraId="6930DCE3" w14:textId="77777777" w:rsidR="009C2781" w:rsidRPr="00053F22" w:rsidRDefault="009C2781" w:rsidP="00DE096B">
            <w:pPr>
              <w:rPr>
                <w:lang w:val="en-GB"/>
              </w:rPr>
            </w:pPr>
          </w:p>
          <w:p w14:paraId="1296D64C" w14:textId="77777777" w:rsidR="009C2781" w:rsidRPr="00053F22" w:rsidRDefault="009C2781" w:rsidP="00DE096B">
            <w:pPr>
              <w:rPr>
                <w:lang w:val="en-GB"/>
              </w:rPr>
            </w:pPr>
          </w:p>
        </w:tc>
      </w:tr>
      <w:tr w:rsidR="009C2781" w:rsidRPr="00053F22" w14:paraId="306D2273" w14:textId="69F10A36" w:rsidTr="00A63EA2">
        <w:trPr>
          <w:cantSplit/>
          <w:trHeight w:val="269"/>
        </w:trPr>
        <w:tc>
          <w:tcPr>
            <w:tcW w:w="788" w:type="pct"/>
          </w:tcPr>
          <w:p w14:paraId="23C928A0" w14:textId="77777777" w:rsidR="009C2781" w:rsidRPr="00053F22" w:rsidRDefault="009C2781" w:rsidP="00DE096B">
            <w:pPr>
              <w:pStyle w:val="ListParagraph"/>
              <w:numPr>
                <w:ilvl w:val="0"/>
                <w:numId w:val="18"/>
              </w:numPr>
              <w:rPr>
                <w:lang w:val="en-GB"/>
              </w:rPr>
            </w:pPr>
            <w:proofErr w:type="spellStart"/>
            <w:r w:rsidRPr="00053F22">
              <w:rPr>
                <w:lang w:val="en-GB"/>
              </w:rPr>
              <w:t>Enegia</w:t>
            </w:r>
            <w:proofErr w:type="spellEnd"/>
            <w:r w:rsidRPr="00053F22">
              <w:rPr>
                <w:lang w:val="en-GB"/>
              </w:rPr>
              <w:t xml:space="preserve">, </w:t>
            </w:r>
            <w:proofErr w:type="spellStart"/>
            <w:r w:rsidRPr="00053F22">
              <w:rPr>
                <w:lang w:val="en-GB"/>
              </w:rPr>
              <w:t>EnerKey</w:t>
            </w:r>
            <w:proofErr w:type="spellEnd"/>
          </w:p>
        </w:tc>
        <w:tc>
          <w:tcPr>
            <w:tcW w:w="900" w:type="pct"/>
          </w:tcPr>
          <w:p w14:paraId="3F89C8B2" w14:textId="193A1AD1" w:rsidR="009C2781" w:rsidRPr="00053F22" w:rsidRDefault="009C2781" w:rsidP="00DE096B">
            <w:pPr>
              <w:rPr>
                <w:lang w:val="en-GB"/>
              </w:rPr>
            </w:pPr>
            <w:r w:rsidRPr="00053F22">
              <w:rPr>
                <w:lang w:val="en-GB"/>
              </w:rPr>
              <w:t>Responsibility reporting and energy management</w:t>
            </w:r>
          </w:p>
        </w:tc>
        <w:tc>
          <w:tcPr>
            <w:tcW w:w="1780" w:type="pct"/>
          </w:tcPr>
          <w:p w14:paraId="77283F90" w14:textId="1B54453C" w:rsidR="009C2781" w:rsidRPr="00053F22" w:rsidRDefault="009C2781" w:rsidP="00DE096B">
            <w:pPr>
              <w:rPr>
                <w:lang w:val="en-GB"/>
              </w:rPr>
            </w:pPr>
            <w:r w:rsidRPr="00053F22">
              <w:rPr>
                <w:lang w:val="en-GB"/>
              </w:rPr>
              <w:t>Energy reporting, alarm service, document service, data API service, energy management service, invoice management services, expert services, cost reporting service. Contact information, log data.</w:t>
            </w:r>
          </w:p>
        </w:tc>
        <w:tc>
          <w:tcPr>
            <w:tcW w:w="1532" w:type="pct"/>
          </w:tcPr>
          <w:p w14:paraId="5E1B756A" w14:textId="0930061B" w:rsidR="009C2781" w:rsidRPr="00053F22" w:rsidRDefault="009C2781" w:rsidP="00DE096B">
            <w:pPr>
              <w:rPr>
                <w:lang w:val="en-GB"/>
              </w:rPr>
            </w:pPr>
            <w:r w:rsidRPr="00053F22">
              <w:rPr>
                <w:lang w:val="en-GB"/>
              </w:rPr>
              <w:t>Not transferred.</w:t>
            </w:r>
          </w:p>
          <w:p w14:paraId="5E745852" w14:textId="77777777" w:rsidR="009C2781" w:rsidRPr="00053F22" w:rsidRDefault="009C2781" w:rsidP="00DE096B">
            <w:pPr>
              <w:rPr>
                <w:lang w:val="en-GB"/>
              </w:rPr>
            </w:pPr>
          </w:p>
        </w:tc>
      </w:tr>
      <w:tr w:rsidR="009C2781" w:rsidRPr="00053F22" w14:paraId="73F2D905" w14:textId="277E9187" w:rsidTr="00A63EA2">
        <w:trPr>
          <w:cantSplit/>
          <w:trHeight w:val="269"/>
        </w:trPr>
        <w:tc>
          <w:tcPr>
            <w:tcW w:w="788" w:type="pct"/>
          </w:tcPr>
          <w:p w14:paraId="65CF5564" w14:textId="5BEA1062" w:rsidR="009C2781" w:rsidRPr="00053F22" w:rsidRDefault="009C2781" w:rsidP="00DE096B">
            <w:pPr>
              <w:pStyle w:val="ListParagraph"/>
              <w:numPr>
                <w:ilvl w:val="0"/>
                <w:numId w:val="18"/>
              </w:numPr>
              <w:rPr>
                <w:lang w:val="en-GB"/>
              </w:rPr>
            </w:pPr>
            <w:proofErr w:type="spellStart"/>
            <w:r w:rsidRPr="00053F22">
              <w:rPr>
                <w:lang w:val="en-GB"/>
              </w:rPr>
              <w:t>Enkora</w:t>
            </w:r>
            <w:proofErr w:type="spellEnd"/>
            <w:r w:rsidRPr="00053F22">
              <w:rPr>
                <w:lang w:val="en-GB"/>
              </w:rPr>
              <w:t xml:space="preserve">, </w:t>
            </w:r>
            <w:proofErr w:type="spellStart"/>
            <w:r w:rsidRPr="00053F22">
              <w:rPr>
                <w:lang w:val="en-GB"/>
              </w:rPr>
              <w:t>Enkora</w:t>
            </w:r>
            <w:proofErr w:type="spellEnd"/>
            <w:r w:rsidRPr="00053F22">
              <w:rPr>
                <w:lang w:val="en-GB"/>
              </w:rPr>
              <w:t xml:space="preserve"> Ltd</w:t>
            </w:r>
          </w:p>
        </w:tc>
        <w:tc>
          <w:tcPr>
            <w:tcW w:w="900" w:type="pct"/>
          </w:tcPr>
          <w:p w14:paraId="2A5B3ADB" w14:textId="0F82E710" w:rsidR="009C2781" w:rsidRPr="00053F22" w:rsidRDefault="009C2781" w:rsidP="00DE096B">
            <w:pPr>
              <w:rPr>
                <w:lang w:val="en-GB"/>
              </w:rPr>
            </w:pPr>
            <w:r w:rsidRPr="00053F22">
              <w:rPr>
                <w:lang w:val="en-GB"/>
              </w:rPr>
              <w:t>Lockers (storing) and group exercise</w:t>
            </w:r>
          </w:p>
        </w:tc>
        <w:tc>
          <w:tcPr>
            <w:tcW w:w="1780" w:type="pct"/>
          </w:tcPr>
          <w:p w14:paraId="5E0BBF55" w14:textId="1E7F37D0" w:rsidR="009C2781" w:rsidRPr="00053F22" w:rsidRDefault="009C2781" w:rsidP="00DE096B">
            <w:pPr>
              <w:rPr>
                <w:lang w:val="en-GB"/>
              </w:rPr>
            </w:pPr>
            <w:r w:rsidRPr="00053F22">
              <w:rPr>
                <w:lang w:val="en-GB"/>
              </w:rPr>
              <w:t>A student gets access to a locker by showing a copy/student/bus ID card to the touch screen reader. The system saves an event identification number not based on personal data. As for staff, the users of a mail locker and locker rooms show in the system. Staff contact information.</w:t>
            </w:r>
          </w:p>
          <w:p w14:paraId="1D82640A" w14:textId="77777777" w:rsidR="009C2781" w:rsidRPr="00053F22" w:rsidRDefault="009C2781" w:rsidP="00DE096B">
            <w:pPr>
              <w:rPr>
                <w:lang w:val="en-GB"/>
              </w:rPr>
            </w:pPr>
          </w:p>
          <w:p w14:paraId="1AAEB8EB" w14:textId="5B93128B" w:rsidR="009C2781" w:rsidRPr="00053F22" w:rsidRDefault="009C2781" w:rsidP="00DE096B">
            <w:pPr>
              <w:rPr>
                <w:lang w:val="en-GB"/>
              </w:rPr>
            </w:pPr>
            <w:r w:rsidRPr="00053F22">
              <w:rPr>
                <w:lang w:val="en-GB"/>
              </w:rPr>
              <w:t xml:space="preserve">Group exercise: In connection with the maintenance and support services included in the agreement, the processor has access to the Data Controller’s personal data. Used </w:t>
            </w:r>
            <w:r>
              <w:rPr>
                <w:lang w:val="en-GB"/>
              </w:rPr>
              <w:t>to</w:t>
            </w:r>
            <w:r w:rsidRPr="00053F22">
              <w:rPr>
                <w:lang w:val="en-GB"/>
              </w:rPr>
              <w:t xml:space="preserve"> regist</w:t>
            </w:r>
            <w:r>
              <w:rPr>
                <w:lang w:val="en-GB"/>
              </w:rPr>
              <w:t>er</w:t>
            </w:r>
            <w:r w:rsidRPr="00053F22">
              <w:rPr>
                <w:lang w:val="en-GB"/>
              </w:rPr>
              <w:t xml:space="preserve"> </w:t>
            </w:r>
            <w:r>
              <w:rPr>
                <w:lang w:val="en-GB"/>
              </w:rPr>
              <w:t>for</w:t>
            </w:r>
            <w:r w:rsidRPr="00053F22">
              <w:rPr>
                <w:lang w:val="en-GB"/>
              </w:rPr>
              <w:t xml:space="preserve"> group exercises. Data related to customer relations and information security.</w:t>
            </w:r>
          </w:p>
          <w:p w14:paraId="03B81033" w14:textId="77777777" w:rsidR="009C2781" w:rsidRPr="00053F22" w:rsidRDefault="009C2781" w:rsidP="00DE096B">
            <w:pPr>
              <w:rPr>
                <w:lang w:val="en-GB"/>
              </w:rPr>
            </w:pPr>
          </w:p>
        </w:tc>
        <w:tc>
          <w:tcPr>
            <w:tcW w:w="1532" w:type="pct"/>
          </w:tcPr>
          <w:p w14:paraId="475232B8" w14:textId="0F84D3E5" w:rsidR="009C2781" w:rsidRPr="00053F22" w:rsidRDefault="009C2781" w:rsidP="00DE096B">
            <w:pPr>
              <w:rPr>
                <w:lang w:val="en-GB"/>
              </w:rPr>
            </w:pPr>
            <w:r w:rsidRPr="00053F22">
              <w:rPr>
                <w:lang w:val="en-GB"/>
              </w:rPr>
              <w:t>Not transferred.</w:t>
            </w:r>
          </w:p>
          <w:p w14:paraId="37708D8B" w14:textId="77777777" w:rsidR="009C2781" w:rsidRPr="00053F22" w:rsidRDefault="009C2781" w:rsidP="00DE096B">
            <w:pPr>
              <w:rPr>
                <w:lang w:val="en-GB"/>
              </w:rPr>
            </w:pPr>
          </w:p>
        </w:tc>
      </w:tr>
      <w:tr w:rsidR="009C2781" w:rsidRPr="008F598E" w14:paraId="77B2A46D" w14:textId="01896D6D" w:rsidTr="00A63EA2">
        <w:trPr>
          <w:cantSplit/>
          <w:trHeight w:val="269"/>
        </w:trPr>
        <w:tc>
          <w:tcPr>
            <w:tcW w:w="788" w:type="pct"/>
          </w:tcPr>
          <w:p w14:paraId="4EE08333" w14:textId="0F351F89" w:rsidR="009C2781" w:rsidRPr="00053F22" w:rsidRDefault="009C2781" w:rsidP="00DE096B">
            <w:pPr>
              <w:pStyle w:val="ListParagraph"/>
              <w:numPr>
                <w:ilvl w:val="0"/>
                <w:numId w:val="18"/>
              </w:numPr>
              <w:rPr>
                <w:lang w:val="en-GB"/>
              </w:rPr>
            </w:pPr>
            <w:proofErr w:type="spellStart"/>
            <w:r>
              <w:rPr>
                <w:lang w:val="en-GB"/>
              </w:rPr>
              <w:t>ePassi</w:t>
            </w:r>
            <w:proofErr w:type="spellEnd"/>
            <w:r>
              <w:rPr>
                <w:lang w:val="en-GB"/>
              </w:rPr>
              <w:t xml:space="preserve"> Finland</w:t>
            </w:r>
          </w:p>
        </w:tc>
        <w:tc>
          <w:tcPr>
            <w:tcW w:w="900" w:type="pct"/>
          </w:tcPr>
          <w:p w14:paraId="16162C39" w14:textId="4D09777D" w:rsidR="009C2781" w:rsidRPr="00053F22" w:rsidRDefault="009C2781" w:rsidP="00DE096B">
            <w:pPr>
              <w:rPr>
                <w:lang w:val="en-GB"/>
              </w:rPr>
            </w:pPr>
            <w:r>
              <w:rPr>
                <w:lang w:val="en-GB"/>
              </w:rPr>
              <w:t>Employee benefits</w:t>
            </w:r>
          </w:p>
        </w:tc>
        <w:tc>
          <w:tcPr>
            <w:tcW w:w="1780" w:type="pct"/>
          </w:tcPr>
          <w:p w14:paraId="7B66D1DA" w14:textId="6F6C2DB7" w:rsidR="00504DDB" w:rsidRPr="00495532" w:rsidRDefault="00504DDB" w:rsidP="00504DDB">
            <w:pPr>
              <w:rPr>
                <w:lang w:val="en-US"/>
              </w:rPr>
            </w:pPr>
            <w:r w:rsidRPr="00504DDB">
              <w:rPr>
                <w:b/>
                <w:bCs/>
                <w:lang w:val="en-US"/>
              </w:rPr>
              <w:t>Purposes of processing:</w:t>
            </w:r>
            <w:r w:rsidRPr="00495532">
              <w:rPr>
                <w:lang w:val="en-US"/>
              </w:rPr>
              <w:t xml:space="preserve"> management of </w:t>
            </w:r>
            <w:r>
              <w:rPr>
                <w:lang w:val="en-US"/>
              </w:rPr>
              <w:t>employee benefits</w:t>
            </w:r>
          </w:p>
          <w:p w14:paraId="6F5A5270" w14:textId="77777777" w:rsidR="00504DDB" w:rsidRDefault="00504DDB" w:rsidP="00DE096B">
            <w:pPr>
              <w:rPr>
                <w:b/>
                <w:bCs/>
                <w:lang w:val="en-US"/>
              </w:rPr>
            </w:pPr>
          </w:p>
          <w:p w14:paraId="6BAB4160" w14:textId="641FF863" w:rsidR="009C2781" w:rsidRPr="00504DDB" w:rsidRDefault="00504DDB" w:rsidP="00DE096B">
            <w:pPr>
              <w:rPr>
                <w:lang w:val="en-US"/>
              </w:rPr>
            </w:pPr>
            <w:r w:rsidRPr="00504DDB">
              <w:rPr>
                <w:b/>
                <w:bCs/>
                <w:lang w:val="en-US"/>
              </w:rPr>
              <w:t>Categories of personal data processed:</w:t>
            </w:r>
            <w:r w:rsidRPr="00495532">
              <w:rPr>
                <w:lang w:val="en-US"/>
              </w:rPr>
              <w:t xml:space="preserve"> </w:t>
            </w:r>
            <w:r w:rsidR="007B7F2D">
              <w:rPr>
                <w:lang w:val="en-US"/>
              </w:rPr>
              <w:t xml:space="preserve">contact details and </w:t>
            </w:r>
            <w:r w:rsidRPr="00495532">
              <w:rPr>
                <w:lang w:val="en-US"/>
              </w:rPr>
              <w:t xml:space="preserve">amount and nature of the benefit. </w:t>
            </w:r>
          </w:p>
        </w:tc>
        <w:tc>
          <w:tcPr>
            <w:tcW w:w="1532" w:type="pct"/>
          </w:tcPr>
          <w:p w14:paraId="23B61F6A" w14:textId="77777777" w:rsidR="009C2781" w:rsidRPr="00053F22" w:rsidRDefault="009C2781" w:rsidP="00DE096B">
            <w:pPr>
              <w:rPr>
                <w:lang w:val="en-GB"/>
              </w:rPr>
            </w:pPr>
            <w:r w:rsidRPr="00053F22">
              <w:rPr>
                <w:lang w:val="en-GB"/>
              </w:rPr>
              <w:t>Not transferred.</w:t>
            </w:r>
          </w:p>
          <w:p w14:paraId="23F7E255" w14:textId="77777777" w:rsidR="009C2781" w:rsidRPr="00053F22" w:rsidRDefault="009C2781" w:rsidP="00DE096B">
            <w:pPr>
              <w:rPr>
                <w:lang w:val="en-GB"/>
              </w:rPr>
            </w:pPr>
          </w:p>
        </w:tc>
      </w:tr>
      <w:tr w:rsidR="009C2781" w:rsidRPr="00053F22" w14:paraId="2AF84CBD" w14:textId="3E970400" w:rsidTr="00A63EA2">
        <w:trPr>
          <w:trHeight w:val="269"/>
        </w:trPr>
        <w:tc>
          <w:tcPr>
            <w:tcW w:w="788" w:type="pct"/>
          </w:tcPr>
          <w:p w14:paraId="467C989D" w14:textId="77777777" w:rsidR="009C2781" w:rsidRPr="00053F22" w:rsidRDefault="009C2781" w:rsidP="00DE096B">
            <w:pPr>
              <w:pStyle w:val="ListParagraph"/>
              <w:numPr>
                <w:ilvl w:val="0"/>
                <w:numId w:val="18"/>
              </w:numPr>
              <w:rPr>
                <w:lang w:val="en-GB"/>
              </w:rPr>
            </w:pPr>
            <w:r w:rsidRPr="00053F22">
              <w:rPr>
                <w:lang w:val="en-GB"/>
              </w:rPr>
              <w:t>File Gallery</w:t>
            </w:r>
          </w:p>
        </w:tc>
        <w:tc>
          <w:tcPr>
            <w:tcW w:w="900" w:type="pct"/>
          </w:tcPr>
          <w:p w14:paraId="212EFEC2" w14:textId="4BD3744C" w:rsidR="009C2781" w:rsidRPr="00053F22" w:rsidRDefault="009C2781" w:rsidP="00DE096B">
            <w:pPr>
              <w:rPr>
                <w:lang w:val="en-GB"/>
              </w:rPr>
            </w:pPr>
            <w:r w:rsidRPr="00053F22">
              <w:rPr>
                <w:lang w:val="en-GB"/>
              </w:rPr>
              <w:t>Tender calculation and invoicing</w:t>
            </w:r>
          </w:p>
        </w:tc>
        <w:tc>
          <w:tcPr>
            <w:tcW w:w="1780" w:type="pct"/>
          </w:tcPr>
          <w:p w14:paraId="2893ACB2" w14:textId="0226D9BA" w:rsidR="009C2781" w:rsidRPr="00053F22" w:rsidRDefault="009C2781" w:rsidP="00DE096B">
            <w:pPr>
              <w:rPr>
                <w:lang w:val="en-GB"/>
              </w:rPr>
            </w:pPr>
            <w:r w:rsidRPr="00053F22">
              <w:rPr>
                <w:lang w:val="en-GB"/>
              </w:rPr>
              <w:t>Gallery is an enterprise resource planning system, which is used for tender calculation and invoicing. The supplier processes personal data only for Gallery’s maintenance, information security management, and in tasks commissioned by the client. The following types of data can be saved in Gallery: contact information</w:t>
            </w:r>
            <w:r w:rsidR="007B7F2D">
              <w:rPr>
                <w:lang w:val="en-GB"/>
              </w:rPr>
              <w:t xml:space="preserve"> </w:t>
            </w:r>
            <w:r w:rsidRPr="00053F22">
              <w:rPr>
                <w:lang w:val="en-GB"/>
              </w:rPr>
              <w:t>usage inform</w:t>
            </w:r>
            <w:r w:rsidR="007B7F2D">
              <w:rPr>
                <w:lang w:val="en-GB"/>
              </w:rPr>
              <w:t>ation</w:t>
            </w:r>
            <w:r w:rsidRPr="00053F22">
              <w:rPr>
                <w:lang w:val="en-GB"/>
              </w:rPr>
              <w:t>.</w:t>
            </w:r>
          </w:p>
          <w:p w14:paraId="4454F983" w14:textId="77777777" w:rsidR="009C2781" w:rsidRPr="00053F22" w:rsidRDefault="009C2781" w:rsidP="00DE096B">
            <w:pPr>
              <w:rPr>
                <w:lang w:val="en-GB"/>
              </w:rPr>
            </w:pPr>
          </w:p>
          <w:p w14:paraId="0AF4F00F" w14:textId="77777777" w:rsidR="009C2781" w:rsidRPr="00053F22" w:rsidRDefault="009C2781" w:rsidP="00DE096B">
            <w:pPr>
              <w:rPr>
                <w:lang w:val="en-GB"/>
              </w:rPr>
            </w:pPr>
          </w:p>
        </w:tc>
        <w:tc>
          <w:tcPr>
            <w:tcW w:w="1532" w:type="pct"/>
          </w:tcPr>
          <w:p w14:paraId="71AA1E47" w14:textId="24CC0F4D" w:rsidR="009C2781" w:rsidRPr="00053F22" w:rsidRDefault="009C2781" w:rsidP="00DE096B">
            <w:pPr>
              <w:rPr>
                <w:lang w:val="en-GB"/>
              </w:rPr>
            </w:pPr>
            <w:r w:rsidRPr="00053F22">
              <w:rPr>
                <w:lang w:val="en-GB"/>
              </w:rPr>
              <w:t>Not transferred.</w:t>
            </w:r>
          </w:p>
          <w:p w14:paraId="265877CA" w14:textId="77777777" w:rsidR="009C2781" w:rsidRPr="00053F22" w:rsidRDefault="009C2781" w:rsidP="00DE096B">
            <w:pPr>
              <w:rPr>
                <w:lang w:val="en-GB"/>
              </w:rPr>
            </w:pPr>
          </w:p>
        </w:tc>
      </w:tr>
      <w:tr w:rsidR="009C2781" w:rsidRPr="00502BC9" w14:paraId="49E0B56C" w14:textId="77D458CF" w:rsidTr="00A63EA2">
        <w:trPr>
          <w:trHeight w:val="269"/>
        </w:trPr>
        <w:tc>
          <w:tcPr>
            <w:tcW w:w="788" w:type="pct"/>
          </w:tcPr>
          <w:p w14:paraId="12A4A5A9" w14:textId="77777777" w:rsidR="009C2781" w:rsidRPr="00053F22" w:rsidRDefault="009C2781" w:rsidP="00DE096B">
            <w:pPr>
              <w:pStyle w:val="ListParagraph"/>
              <w:numPr>
                <w:ilvl w:val="0"/>
                <w:numId w:val="18"/>
              </w:numPr>
              <w:rPr>
                <w:lang w:val="en-GB"/>
              </w:rPr>
            </w:pPr>
            <w:proofErr w:type="spellStart"/>
            <w:r w:rsidRPr="00053F22">
              <w:rPr>
                <w:lang w:val="en-GB"/>
              </w:rPr>
              <w:lastRenderedPageBreak/>
              <w:t>Funidata</w:t>
            </w:r>
            <w:proofErr w:type="spellEnd"/>
            <w:r w:rsidRPr="00053F22">
              <w:rPr>
                <w:lang w:val="en-GB"/>
              </w:rPr>
              <w:t xml:space="preserve"> - Sisu</w:t>
            </w:r>
          </w:p>
        </w:tc>
        <w:tc>
          <w:tcPr>
            <w:tcW w:w="900" w:type="pct"/>
          </w:tcPr>
          <w:p w14:paraId="708E2436" w14:textId="0D93D80B" w:rsidR="009C2781" w:rsidRPr="00053F22" w:rsidRDefault="009C2781" w:rsidP="00DE096B">
            <w:pPr>
              <w:rPr>
                <w:lang w:val="en-GB"/>
              </w:rPr>
            </w:pPr>
            <w:r w:rsidRPr="00053F22">
              <w:rPr>
                <w:lang w:val="en-GB"/>
              </w:rPr>
              <w:t>Study administration</w:t>
            </w:r>
          </w:p>
        </w:tc>
        <w:tc>
          <w:tcPr>
            <w:tcW w:w="1780" w:type="pct"/>
          </w:tcPr>
          <w:p w14:paraId="5174044F" w14:textId="0DA8CEF3" w:rsidR="009C2781" w:rsidRPr="00053F22" w:rsidRDefault="009C2781" w:rsidP="00DE096B">
            <w:pPr>
              <w:rPr>
                <w:lang w:val="en-GB"/>
              </w:rPr>
            </w:pPr>
            <w:r w:rsidRPr="00053F22">
              <w:rPr>
                <w:lang w:val="en-GB"/>
              </w:rPr>
              <w:t xml:space="preserve">An entire system for study administration and the management of teachers’ and students’ study administration activities. </w:t>
            </w:r>
          </w:p>
          <w:p w14:paraId="33EB77D1" w14:textId="63D82320" w:rsidR="009C2781" w:rsidRPr="00053F22" w:rsidRDefault="009C2781" w:rsidP="00DE096B">
            <w:pPr>
              <w:rPr>
                <w:lang w:val="en-GB"/>
              </w:rPr>
            </w:pPr>
            <w:r w:rsidRPr="00053F22">
              <w:rPr>
                <w:lang w:val="en-GB"/>
              </w:rPr>
              <w:t xml:space="preserve">Student’s data. For students, we save their basic and contact information, study-related data. </w:t>
            </w:r>
          </w:p>
          <w:p w14:paraId="6B604CB0" w14:textId="4505C274" w:rsidR="009C2781" w:rsidRPr="00053F22" w:rsidRDefault="009C2781" w:rsidP="00DE096B">
            <w:pPr>
              <w:rPr>
                <w:lang w:val="en-GB"/>
              </w:rPr>
            </w:pPr>
            <w:r w:rsidRPr="00053F22">
              <w:rPr>
                <w:lang w:val="en-GB"/>
              </w:rPr>
              <w:t xml:space="preserve">Teacher’s/administrator’s basic information </w:t>
            </w:r>
          </w:p>
          <w:p w14:paraId="686AEBE1" w14:textId="1C887EA2" w:rsidR="009C2781" w:rsidRPr="00053F22" w:rsidRDefault="009C2781" w:rsidP="00DE096B">
            <w:pPr>
              <w:rPr>
                <w:lang w:val="en-GB"/>
              </w:rPr>
            </w:pPr>
            <w:r w:rsidRPr="00053F22">
              <w:rPr>
                <w:lang w:val="en-GB"/>
              </w:rPr>
              <w:t xml:space="preserve">For staff, we save user data. </w:t>
            </w:r>
          </w:p>
          <w:p w14:paraId="68E7FEF6" w14:textId="66152FF5" w:rsidR="009C2781" w:rsidRPr="00053F22" w:rsidRDefault="009C2781" w:rsidP="00DE096B">
            <w:pPr>
              <w:rPr>
                <w:lang w:val="en-GB"/>
              </w:rPr>
            </w:pPr>
            <w:r w:rsidRPr="00053F22">
              <w:rPr>
                <w:lang w:val="en-GB"/>
              </w:rPr>
              <w:t>Log data.</w:t>
            </w:r>
          </w:p>
        </w:tc>
        <w:tc>
          <w:tcPr>
            <w:tcW w:w="1532" w:type="pct"/>
          </w:tcPr>
          <w:p w14:paraId="272D169C" w14:textId="3DA3D6B3" w:rsidR="009C2781" w:rsidRPr="007433B8" w:rsidRDefault="009C2781" w:rsidP="00DE096B">
            <w:pPr>
              <w:rPr>
                <w:lang w:val="en-US"/>
              </w:rPr>
            </w:pPr>
            <w:r w:rsidRPr="00053F22">
              <w:rPr>
                <w:lang w:val="en-GB"/>
              </w:rPr>
              <w:t xml:space="preserve">Cloud service suppliers providing </w:t>
            </w:r>
            <w:proofErr w:type="spellStart"/>
            <w:r w:rsidRPr="00053F22">
              <w:rPr>
                <w:lang w:val="en-GB"/>
              </w:rPr>
              <w:t>Funidata</w:t>
            </w:r>
            <w:proofErr w:type="spellEnd"/>
            <w:r w:rsidRPr="00053F22">
              <w:rPr>
                <w:lang w:val="en-GB"/>
              </w:rPr>
              <w:t xml:space="preserve"> capacity service can get a chance to process personal data operating from outside the EU or EEA area. United States EU-US Data Privacy Framework and </w:t>
            </w:r>
            <w:r w:rsidR="007433B8" w:rsidRPr="007433B8">
              <w:rPr>
                <w:b/>
                <w:bCs/>
                <w:lang w:val="en-US"/>
              </w:rPr>
              <w:t>Standard Contractual Clauses (SCC)</w:t>
            </w:r>
          </w:p>
          <w:p w14:paraId="07C92017" w14:textId="77777777" w:rsidR="009C2781" w:rsidRPr="00053F22" w:rsidRDefault="009C2781" w:rsidP="00DE096B">
            <w:pPr>
              <w:rPr>
                <w:lang w:val="en-GB"/>
              </w:rPr>
            </w:pPr>
          </w:p>
        </w:tc>
      </w:tr>
      <w:tr w:rsidR="007B6BA2" w:rsidRPr="00502BC9" w14:paraId="54A05C70" w14:textId="77777777" w:rsidTr="00A63EA2">
        <w:trPr>
          <w:trHeight w:val="269"/>
        </w:trPr>
        <w:tc>
          <w:tcPr>
            <w:tcW w:w="788" w:type="pct"/>
          </w:tcPr>
          <w:p w14:paraId="26C877D7" w14:textId="365243F8" w:rsidR="007B6BA2" w:rsidRPr="00053F22" w:rsidRDefault="007B6BA2" w:rsidP="00DE096B">
            <w:pPr>
              <w:pStyle w:val="ListParagraph"/>
              <w:numPr>
                <w:ilvl w:val="0"/>
                <w:numId w:val="18"/>
              </w:numPr>
              <w:rPr>
                <w:lang w:val="en-GB"/>
              </w:rPr>
            </w:pPr>
            <w:r w:rsidRPr="00981C67">
              <w:rPr>
                <w:lang w:val="en-US"/>
              </w:rPr>
              <w:t>HigherEd Hub Finland O</w:t>
            </w:r>
            <w:r>
              <w:rPr>
                <w:lang w:val="en-US"/>
              </w:rPr>
              <w:t>y (HEHF) Business ID</w:t>
            </w:r>
            <w:r w:rsidRPr="008B1C10">
              <w:rPr>
                <w:lang w:val="en-US"/>
              </w:rPr>
              <w:t>: 3411320-6</w:t>
            </w:r>
          </w:p>
        </w:tc>
        <w:tc>
          <w:tcPr>
            <w:tcW w:w="900" w:type="pct"/>
          </w:tcPr>
          <w:p w14:paraId="73AA2F6B" w14:textId="57D4A031" w:rsidR="007B6BA2" w:rsidRPr="007B6BA2" w:rsidRDefault="007B6BA2" w:rsidP="00DE096B">
            <w:pPr>
              <w:rPr>
                <w:lang w:val="en-GB"/>
              </w:rPr>
            </w:pPr>
            <w:r>
              <w:rPr>
                <w:lang w:val="en-GB"/>
              </w:rPr>
              <w:t>Study administration, lifelong learning</w:t>
            </w:r>
          </w:p>
        </w:tc>
        <w:tc>
          <w:tcPr>
            <w:tcW w:w="1780" w:type="pct"/>
          </w:tcPr>
          <w:p w14:paraId="1B4E6CD9" w14:textId="77777777" w:rsidR="007B6BA2" w:rsidRPr="007B6BA2" w:rsidRDefault="007B6BA2" w:rsidP="007B6BA2">
            <w:pPr>
              <w:rPr>
                <w:b/>
                <w:bCs/>
                <w:lang w:val="en-GB"/>
              </w:rPr>
            </w:pPr>
            <w:r w:rsidRPr="007B6BA2">
              <w:rPr>
                <w:b/>
                <w:bCs/>
                <w:lang w:val="en-GB"/>
              </w:rPr>
              <w:t>Purposes of processing</w:t>
            </w:r>
          </w:p>
          <w:p w14:paraId="2AB26F5D" w14:textId="5DAB1152" w:rsidR="007B6BA2" w:rsidRPr="007B6BA2" w:rsidRDefault="007B6BA2" w:rsidP="007B6BA2">
            <w:pPr>
              <w:rPr>
                <w:lang w:val="en-GB"/>
              </w:rPr>
            </w:pPr>
            <w:r w:rsidRPr="007B6BA2">
              <w:rPr>
                <w:lang w:val="en-GB"/>
              </w:rPr>
              <w:t>Opin.fi</w:t>
            </w:r>
            <w:r>
              <w:rPr>
                <w:lang w:val="en-GB"/>
              </w:rPr>
              <w:t xml:space="preserve"> service</w:t>
            </w:r>
            <w:r w:rsidRPr="007B6BA2">
              <w:rPr>
                <w:lang w:val="en-GB"/>
              </w:rPr>
              <w:t xml:space="preserve"> processes personal data for the following purposes: </w:t>
            </w:r>
          </w:p>
          <w:p w14:paraId="1A6714E9" w14:textId="3D749259" w:rsidR="007B6BA2" w:rsidRPr="007B6BA2" w:rsidRDefault="007B6BA2" w:rsidP="007B6BA2">
            <w:pPr>
              <w:rPr>
                <w:b/>
                <w:bCs/>
                <w:lang w:val="en-GB"/>
              </w:rPr>
            </w:pPr>
            <w:r w:rsidRPr="007B6BA2">
              <w:rPr>
                <w:b/>
                <w:bCs/>
                <w:lang w:val="en-GB"/>
              </w:rPr>
              <w:t xml:space="preserve">Identification of users </w:t>
            </w:r>
          </w:p>
          <w:p w14:paraId="42105269" w14:textId="536C275E" w:rsidR="007B6BA2" w:rsidRPr="007B6BA2" w:rsidRDefault="007B6BA2" w:rsidP="007B6BA2">
            <w:pPr>
              <w:rPr>
                <w:lang w:val="en-GB"/>
              </w:rPr>
            </w:pPr>
            <w:r>
              <w:rPr>
                <w:lang w:val="en-GB"/>
              </w:rPr>
              <w:t>-Identification</w:t>
            </w:r>
          </w:p>
          <w:p w14:paraId="07364F0E" w14:textId="12F90F08" w:rsidR="007B6BA2" w:rsidRPr="007B6BA2" w:rsidRDefault="007B6BA2" w:rsidP="007B6BA2">
            <w:pPr>
              <w:rPr>
                <w:lang w:val="en-GB"/>
              </w:rPr>
            </w:pPr>
            <w:r w:rsidRPr="007B6BA2">
              <w:rPr>
                <w:lang w:val="en-GB"/>
              </w:rPr>
              <w:t>- Processing of learner</w:t>
            </w:r>
            <w:r>
              <w:rPr>
                <w:lang w:val="en-GB"/>
              </w:rPr>
              <w:t>’s study grades</w:t>
            </w:r>
            <w:r w:rsidRPr="007B6BA2">
              <w:rPr>
                <w:lang w:val="en-GB"/>
              </w:rPr>
              <w:t xml:space="preserve"> </w:t>
            </w:r>
          </w:p>
          <w:p w14:paraId="49837572" w14:textId="77777777" w:rsidR="007B6BA2" w:rsidRPr="007B6BA2" w:rsidRDefault="007B6BA2" w:rsidP="007B6BA2">
            <w:pPr>
              <w:rPr>
                <w:lang w:val="en-GB"/>
              </w:rPr>
            </w:pPr>
            <w:r w:rsidRPr="007B6BA2">
              <w:rPr>
                <w:lang w:val="en-GB"/>
              </w:rPr>
              <w:t xml:space="preserve">- Course recommendation </w:t>
            </w:r>
          </w:p>
          <w:p w14:paraId="788F2DB2" w14:textId="62F2AD14" w:rsidR="007B6BA2" w:rsidRPr="007B6BA2" w:rsidRDefault="007B6BA2" w:rsidP="007B6BA2">
            <w:pPr>
              <w:rPr>
                <w:lang w:val="en-GB"/>
              </w:rPr>
            </w:pPr>
            <w:r w:rsidRPr="007B6BA2">
              <w:rPr>
                <w:lang w:val="en-GB"/>
              </w:rPr>
              <w:t xml:space="preserve">- </w:t>
            </w:r>
            <w:r>
              <w:rPr>
                <w:lang w:val="en-GB"/>
              </w:rPr>
              <w:t xml:space="preserve">Analysis and statistics of use of the </w:t>
            </w:r>
            <w:r w:rsidRPr="007B6BA2">
              <w:rPr>
                <w:lang w:val="en-GB"/>
              </w:rPr>
              <w:t>website and participation in courses</w:t>
            </w:r>
          </w:p>
          <w:p w14:paraId="27D8EE0A" w14:textId="77777777" w:rsidR="007B6BA2" w:rsidRPr="007B6BA2" w:rsidRDefault="007B6BA2" w:rsidP="007B6BA2">
            <w:pPr>
              <w:rPr>
                <w:lang w:val="en-GB"/>
              </w:rPr>
            </w:pPr>
            <w:r w:rsidRPr="007B6BA2">
              <w:rPr>
                <w:lang w:val="en-GB"/>
              </w:rPr>
              <w:t xml:space="preserve">- Ensuring the technical security of the site and </w:t>
            </w:r>
          </w:p>
          <w:p w14:paraId="2CB985FE" w14:textId="37542718" w:rsidR="007B6BA2" w:rsidRDefault="007B6BA2" w:rsidP="007B6BA2">
            <w:pPr>
              <w:rPr>
                <w:lang w:val="en-GB"/>
              </w:rPr>
            </w:pPr>
            <w:r w:rsidRPr="007B6BA2">
              <w:rPr>
                <w:lang w:val="en-GB"/>
              </w:rPr>
              <w:t>detection of irregularities</w:t>
            </w:r>
          </w:p>
          <w:p w14:paraId="09F9BEBD" w14:textId="77777777" w:rsidR="007B6BA2" w:rsidRPr="007B6BA2" w:rsidRDefault="007B6BA2" w:rsidP="007B6BA2">
            <w:pPr>
              <w:rPr>
                <w:lang w:val="en-GB"/>
              </w:rPr>
            </w:pPr>
          </w:p>
          <w:p w14:paraId="202E0231" w14:textId="12E6B255" w:rsidR="007B6BA2" w:rsidRDefault="007B6BA2" w:rsidP="007B6BA2">
            <w:pPr>
              <w:rPr>
                <w:b/>
                <w:bCs/>
                <w:lang w:val="en-GB"/>
              </w:rPr>
            </w:pPr>
            <w:r w:rsidRPr="007B6BA2">
              <w:rPr>
                <w:b/>
                <w:bCs/>
                <w:lang w:val="en-GB"/>
              </w:rPr>
              <w:t>Type of personal data and categories of data subjects</w:t>
            </w:r>
          </w:p>
          <w:p w14:paraId="0A4774B9" w14:textId="77777777" w:rsidR="007B6BA2" w:rsidRPr="007B6BA2" w:rsidRDefault="007B6BA2" w:rsidP="007B6BA2">
            <w:pPr>
              <w:rPr>
                <w:b/>
                <w:bCs/>
                <w:lang w:val="en-GB"/>
              </w:rPr>
            </w:pPr>
          </w:p>
          <w:p w14:paraId="2016D5B0" w14:textId="77777777" w:rsidR="007B6BA2" w:rsidRPr="007B6BA2" w:rsidRDefault="007B6BA2" w:rsidP="007B6BA2">
            <w:pPr>
              <w:rPr>
                <w:lang w:val="en-GB"/>
              </w:rPr>
            </w:pPr>
            <w:r w:rsidRPr="007B6BA2">
              <w:rPr>
                <w:lang w:val="en-GB"/>
              </w:rPr>
              <w:t xml:space="preserve">- Those registered for courses and implementations </w:t>
            </w:r>
          </w:p>
          <w:p w14:paraId="27108A25" w14:textId="0C829929" w:rsidR="007B6BA2" w:rsidRPr="007B6BA2" w:rsidRDefault="007B6BA2" w:rsidP="007B6BA2">
            <w:pPr>
              <w:rPr>
                <w:lang w:val="en-GB"/>
              </w:rPr>
            </w:pPr>
            <w:r w:rsidRPr="007B6BA2">
              <w:rPr>
                <w:lang w:val="en-GB"/>
              </w:rPr>
              <w:t>- Members of the</w:t>
            </w:r>
            <w:r>
              <w:rPr>
                <w:lang w:val="en-GB"/>
              </w:rPr>
              <w:t xml:space="preserve"> (</w:t>
            </w:r>
            <w:r w:rsidRPr="007B6BA2">
              <w:rPr>
                <w:lang w:val="en-GB"/>
              </w:rPr>
              <w:t>teaching</w:t>
            </w:r>
            <w:r>
              <w:rPr>
                <w:lang w:val="en-GB"/>
              </w:rPr>
              <w:t>)</w:t>
            </w:r>
            <w:r w:rsidRPr="007B6BA2">
              <w:rPr>
                <w:lang w:val="en-GB"/>
              </w:rPr>
              <w:t xml:space="preserve"> staff of the controller</w:t>
            </w:r>
          </w:p>
          <w:p w14:paraId="409072AD" w14:textId="77777777" w:rsidR="007B6BA2" w:rsidRPr="007B6BA2" w:rsidRDefault="007B6BA2" w:rsidP="007B6BA2">
            <w:pPr>
              <w:rPr>
                <w:lang w:val="en-GB"/>
              </w:rPr>
            </w:pPr>
            <w:r w:rsidRPr="007B6BA2">
              <w:rPr>
                <w:lang w:val="en-GB"/>
              </w:rPr>
              <w:t>- Opin.fi maintenance users</w:t>
            </w:r>
          </w:p>
          <w:p w14:paraId="008C2A66" w14:textId="77777777" w:rsidR="007B6BA2" w:rsidRDefault="007B6BA2" w:rsidP="007B6BA2">
            <w:pPr>
              <w:rPr>
                <w:lang w:val="en-GB"/>
              </w:rPr>
            </w:pPr>
            <w:r w:rsidRPr="007B6BA2">
              <w:rPr>
                <w:lang w:val="en-GB"/>
              </w:rPr>
              <w:t>- Learners</w:t>
            </w:r>
          </w:p>
          <w:p w14:paraId="2199A627" w14:textId="77777777" w:rsidR="007B6BA2" w:rsidRPr="007B6BA2" w:rsidRDefault="007B6BA2" w:rsidP="007B6BA2">
            <w:pPr>
              <w:rPr>
                <w:lang w:val="en-GB"/>
              </w:rPr>
            </w:pPr>
          </w:p>
          <w:p w14:paraId="1C432C7A" w14:textId="672BFB9D" w:rsidR="007B6BA2" w:rsidRDefault="007B6BA2" w:rsidP="007B6BA2">
            <w:pPr>
              <w:rPr>
                <w:lang w:val="en-GB"/>
              </w:rPr>
            </w:pPr>
            <w:r w:rsidRPr="007B6BA2">
              <w:rPr>
                <w:lang w:val="en-GB"/>
              </w:rPr>
              <w:t>HEHF processes personal data on behalf of the higher education institutions (excluding t</w:t>
            </w:r>
            <w:r>
              <w:rPr>
                <w:lang w:val="en-GB"/>
              </w:rPr>
              <w:t>he National Defence University</w:t>
            </w:r>
            <w:r w:rsidRPr="007B6BA2">
              <w:rPr>
                <w:lang w:val="en-GB"/>
              </w:rPr>
              <w:t>)</w:t>
            </w:r>
            <w:r>
              <w:rPr>
                <w:lang w:val="en-GB"/>
              </w:rPr>
              <w:t>. Higher education institutions</w:t>
            </w:r>
            <w:r w:rsidRPr="007B6BA2">
              <w:rPr>
                <w:lang w:val="en-GB"/>
              </w:rPr>
              <w:t xml:space="preserve"> are joint </w:t>
            </w:r>
            <w:r>
              <w:rPr>
                <w:lang w:val="en-GB"/>
              </w:rPr>
              <w:t>data controllers</w:t>
            </w:r>
            <w:r w:rsidRPr="007B6BA2">
              <w:rPr>
                <w:lang w:val="en-GB"/>
              </w:rPr>
              <w:t xml:space="preserve"> </w:t>
            </w:r>
            <w:r>
              <w:rPr>
                <w:lang w:val="en-GB"/>
              </w:rPr>
              <w:t>for</w:t>
            </w:r>
            <w:r w:rsidRPr="007B6BA2">
              <w:rPr>
                <w:lang w:val="en-GB"/>
              </w:rPr>
              <w:t xml:space="preserve"> Opin.fi. </w:t>
            </w:r>
            <w:r>
              <w:rPr>
                <w:lang w:val="en-GB"/>
              </w:rPr>
              <w:t>VIRTA data</w:t>
            </w:r>
            <w:r w:rsidRPr="007B6BA2">
              <w:rPr>
                <w:lang w:val="en-GB"/>
              </w:rPr>
              <w:t xml:space="preserve"> (academic records, degree data, study rights, </w:t>
            </w:r>
            <w:r w:rsidRPr="007B6BA2">
              <w:rPr>
                <w:lang w:val="en-GB"/>
              </w:rPr>
              <w:lastRenderedPageBreak/>
              <w:t xml:space="preserve">attendance data) are transferred to the Opin.fi platform with the consent of the learner (user). The retention period is the period of the consent or 1 year from the last login. Personal data of administrators will be kept for as long as the role of administrator is valid. </w:t>
            </w:r>
          </w:p>
          <w:p w14:paraId="23991345" w14:textId="77777777" w:rsidR="007B6BA2" w:rsidRPr="007B6BA2" w:rsidRDefault="007B6BA2" w:rsidP="007B6BA2">
            <w:pPr>
              <w:rPr>
                <w:lang w:val="en-GB"/>
              </w:rPr>
            </w:pPr>
          </w:p>
          <w:p w14:paraId="2AF96982" w14:textId="7E5428B8" w:rsidR="007B6BA2" w:rsidRPr="007B6BA2" w:rsidRDefault="007B6BA2" w:rsidP="007B6BA2">
            <w:pPr>
              <w:rPr>
                <w:lang w:val="en-GB"/>
              </w:rPr>
            </w:pPr>
            <w:r w:rsidRPr="007B6BA2">
              <w:rPr>
                <w:lang w:val="en-GB"/>
              </w:rPr>
              <w:t xml:space="preserve">Personal data </w:t>
            </w:r>
            <w:r>
              <w:rPr>
                <w:lang w:val="en-GB"/>
              </w:rPr>
              <w:t xml:space="preserve">needed for </w:t>
            </w:r>
            <w:r w:rsidRPr="007B6BA2">
              <w:rPr>
                <w:lang w:val="en-GB"/>
              </w:rPr>
              <w:t>data security</w:t>
            </w:r>
            <w:r>
              <w:rPr>
                <w:lang w:val="en-GB"/>
              </w:rPr>
              <w:t xml:space="preserve"> purposes</w:t>
            </w:r>
            <w:r w:rsidRPr="007B6BA2">
              <w:rPr>
                <w:lang w:val="en-GB"/>
              </w:rPr>
              <w:t xml:space="preserve"> will be processed for a maximum of 2 years.</w:t>
            </w:r>
          </w:p>
          <w:p w14:paraId="62EA248A" w14:textId="1FE6665F" w:rsidR="007B6BA2" w:rsidRPr="00053F22" w:rsidRDefault="007B6BA2" w:rsidP="007B6BA2">
            <w:pPr>
              <w:rPr>
                <w:lang w:val="en-GB"/>
              </w:rPr>
            </w:pPr>
          </w:p>
        </w:tc>
        <w:tc>
          <w:tcPr>
            <w:tcW w:w="1532" w:type="pct"/>
          </w:tcPr>
          <w:p w14:paraId="4B88A7F6" w14:textId="77777777" w:rsidR="007B6BA2" w:rsidRPr="00053F22" w:rsidRDefault="007B6BA2" w:rsidP="00DE096B">
            <w:pPr>
              <w:rPr>
                <w:lang w:val="en-GB"/>
              </w:rPr>
            </w:pPr>
          </w:p>
        </w:tc>
      </w:tr>
      <w:tr w:rsidR="009C2781" w:rsidRPr="00502BC9" w14:paraId="26103544" w14:textId="01DA5496" w:rsidTr="00A63EA2">
        <w:trPr>
          <w:trHeight w:val="269"/>
        </w:trPr>
        <w:tc>
          <w:tcPr>
            <w:tcW w:w="788" w:type="pct"/>
          </w:tcPr>
          <w:p w14:paraId="4C9CCA5F" w14:textId="77777777" w:rsidR="009C2781" w:rsidRPr="00053F22" w:rsidRDefault="009C2781" w:rsidP="00DE096B">
            <w:pPr>
              <w:pStyle w:val="ListParagraph"/>
              <w:numPr>
                <w:ilvl w:val="0"/>
                <w:numId w:val="18"/>
              </w:numPr>
              <w:rPr>
                <w:lang w:val="en-GB"/>
              </w:rPr>
            </w:pPr>
            <w:r w:rsidRPr="00053F22">
              <w:rPr>
                <w:lang w:val="en-GB"/>
              </w:rPr>
              <w:t>Google</w:t>
            </w:r>
          </w:p>
        </w:tc>
        <w:tc>
          <w:tcPr>
            <w:tcW w:w="900" w:type="pct"/>
          </w:tcPr>
          <w:p w14:paraId="3E629523" w14:textId="6A2680FB" w:rsidR="009C2781" w:rsidRPr="00053F22" w:rsidRDefault="009C2781" w:rsidP="00DE096B">
            <w:pPr>
              <w:rPr>
                <w:b/>
                <w:bCs/>
                <w:lang w:val="en-GB"/>
              </w:rPr>
            </w:pPr>
            <w:hyperlink r:id="rId18" w:history="1">
              <w:r w:rsidRPr="00053F22">
                <w:rPr>
                  <w:rStyle w:val="Hyperlink"/>
                  <w:lang w:val="en-GB"/>
                </w:rPr>
                <w:t>G Suite for Education account for staff— Digital Services (jyu.fi)</w:t>
              </w:r>
            </w:hyperlink>
          </w:p>
        </w:tc>
        <w:tc>
          <w:tcPr>
            <w:tcW w:w="1780" w:type="pct"/>
          </w:tcPr>
          <w:p w14:paraId="360C8C0F" w14:textId="181024DB" w:rsidR="009C2781" w:rsidRPr="00053F22" w:rsidRDefault="009C2781" w:rsidP="00DE096B">
            <w:pPr>
              <w:rPr>
                <w:lang w:val="en-GB"/>
              </w:rPr>
            </w:pPr>
            <w:r w:rsidRPr="00053F22">
              <w:rPr>
                <w:lang w:val="en-GB"/>
              </w:rPr>
              <w:t>Categories of Data</w:t>
            </w:r>
          </w:p>
          <w:p w14:paraId="4A9CE576" w14:textId="336143FA" w:rsidR="009C2781" w:rsidRPr="00053F22" w:rsidRDefault="009C2781" w:rsidP="007B7F2D">
            <w:pPr>
              <w:rPr>
                <w:lang w:val="en-GB"/>
              </w:rPr>
            </w:pPr>
            <w:r w:rsidRPr="00053F22">
              <w:rPr>
                <w:lang w:val="en-GB"/>
              </w:rPr>
              <w:t>Personal data submitted, stored, sent or received by Customer, its Affiliates or End Users via the Services</w:t>
            </w:r>
            <w:r w:rsidR="007B7F2D">
              <w:rPr>
                <w:lang w:val="en-GB"/>
              </w:rPr>
              <w:t>.</w:t>
            </w:r>
          </w:p>
          <w:p w14:paraId="40B07D72" w14:textId="77777777" w:rsidR="009C2781" w:rsidRPr="00053F22" w:rsidRDefault="009C2781" w:rsidP="00DE096B">
            <w:pPr>
              <w:rPr>
                <w:lang w:val="en-GB"/>
              </w:rPr>
            </w:pPr>
          </w:p>
          <w:p w14:paraId="51F646C8" w14:textId="0E3B199E" w:rsidR="009C2781" w:rsidRPr="00053F22" w:rsidRDefault="009C2781" w:rsidP="00DE096B">
            <w:pPr>
              <w:rPr>
                <w:rFonts w:cstheme="minorHAnsi"/>
                <w:b/>
                <w:bCs/>
                <w:i/>
                <w:iCs/>
                <w:lang w:val="en-GB"/>
              </w:rPr>
            </w:pPr>
            <w:r w:rsidRPr="00A63EA2">
              <w:rPr>
                <w:rFonts w:cstheme="minorHAnsi"/>
                <w:b/>
                <w:bCs/>
                <w:i/>
                <w:iCs/>
                <w:color w:val="FF0000"/>
                <w:u w:val="single"/>
                <w:lang w:val="en-GB"/>
              </w:rPr>
              <w:t>Note</w:t>
            </w:r>
            <w:r w:rsidR="00A63EA2" w:rsidRPr="00A63EA2">
              <w:rPr>
                <w:rFonts w:cstheme="minorHAnsi"/>
                <w:b/>
                <w:bCs/>
                <w:i/>
                <w:iCs/>
                <w:color w:val="FF0000"/>
                <w:u w:val="single"/>
                <w:lang w:val="en-GB"/>
              </w:rPr>
              <w:t xml:space="preserve"> to staff</w:t>
            </w:r>
            <w:r w:rsidRPr="00A63EA2">
              <w:rPr>
                <w:rFonts w:cstheme="minorHAnsi"/>
                <w:b/>
                <w:bCs/>
                <w:i/>
                <w:iCs/>
                <w:color w:val="FF0000"/>
                <w:u w:val="single"/>
                <w:lang w:val="en-GB"/>
              </w:rPr>
              <w:t>!</w:t>
            </w:r>
            <w:r w:rsidRPr="00053F22">
              <w:rPr>
                <w:rFonts w:cstheme="minorHAnsi"/>
                <w:b/>
                <w:bCs/>
                <w:i/>
                <w:iCs/>
                <w:color w:val="FF0000"/>
                <w:lang w:val="en-GB"/>
              </w:rPr>
              <w:t xml:space="preserve"> </w:t>
            </w:r>
            <w:r>
              <w:rPr>
                <w:rFonts w:cstheme="minorHAnsi"/>
                <w:b/>
                <w:bCs/>
                <w:i/>
                <w:iCs/>
                <w:color w:val="FF0000"/>
                <w:shd w:val="clear" w:color="auto" w:fill="FFFFFF"/>
                <w:lang w:val="en-GB"/>
              </w:rPr>
              <w:t>I</w:t>
            </w:r>
            <w:r w:rsidRPr="00053F22">
              <w:rPr>
                <w:rFonts w:cstheme="minorHAnsi"/>
                <w:b/>
                <w:bCs/>
                <w:i/>
                <w:iCs/>
                <w:color w:val="FF0000"/>
                <w:shd w:val="clear" w:color="auto" w:fill="FFFFFF"/>
                <w:lang w:val="en-GB"/>
              </w:rPr>
              <w:t>t is not permitted to handle any data</w:t>
            </w:r>
            <w:r>
              <w:rPr>
                <w:rFonts w:cstheme="minorHAnsi"/>
                <w:b/>
                <w:bCs/>
                <w:i/>
                <w:iCs/>
                <w:color w:val="FF0000"/>
                <w:shd w:val="clear" w:color="auto" w:fill="FFFFFF"/>
                <w:lang w:val="en-GB"/>
              </w:rPr>
              <w:t>-</w:t>
            </w:r>
            <w:r w:rsidRPr="00053F22">
              <w:rPr>
                <w:rFonts w:cstheme="minorHAnsi"/>
                <w:b/>
                <w:bCs/>
                <w:i/>
                <w:iCs/>
                <w:color w:val="FF0000"/>
                <w:shd w:val="clear" w:color="auto" w:fill="FFFFFF"/>
                <w:lang w:val="en-GB"/>
              </w:rPr>
              <w:t xml:space="preserve">protected material </w:t>
            </w:r>
            <w:r>
              <w:rPr>
                <w:rFonts w:cstheme="minorHAnsi"/>
                <w:b/>
                <w:bCs/>
                <w:i/>
                <w:iCs/>
                <w:color w:val="FF0000"/>
                <w:shd w:val="clear" w:color="auto" w:fill="FFFFFF"/>
                <w:lang w:val="en-GB"/>
              </w:rPr>
              <w:t>i</w:t>
            </w:r>
            <w:r w:rsidRPr="00053F22">
              <w:rPr>
                <w:rFonts w:cstheme="minorHAnsi"/>
                <w:b/>
                <w:bCs/>
                <w:i/>
                <w:iCs/>
                <w:color w:val="FF0000"/>
                <w:lang w:val="en-GB"/>
              </w:rPr>
              <w:t xml:space="preserve">n </w:t>
            </w:r>
            <w:r w:rsidRPr="00053F22">
              <w:rPr>
                <w:rFonts w:cstheme="minorHAnsi"/>
                <w:b/>
                <w:bCs/>
                <w:i/>
                <w:iCs/>
                <w:color w:val="FF0000"/>
                <w:shd w:val="clear" w:color="auto" w:fill="FFFFFF"/>
                <w:lang w:val="en-GB"/>
              </w:rPr>
              <w:t>Google services, such as personal data, study records or course performance assessments.</w:t>
            </w:r>
          </w:p>
        </w:tc>
        <w:tc>
          <w:tcPr>
            <w:tcW w:w="1532" w:type="pct"/>
          </w:tcPr>
          <w:p w14:paraId="70064AAF" w14:textId="77777777" w:rsidR="009C2781" w:rsidRPr="00053F22" w:rsidRDefault="009C2781" w:rsidP="00DE096B">
            <w:pPr>
              <w:rPr>
                <w:lang w:val="en-GB"/>
              </w:rPr>
            </w:pPr>
            <w:bookmarkStart w:id="0" w:name="_Hlk90453656"/>
            <w:r w:rsidRPr="00053F22">
              <w:rPr>
                <w:lang w:val="en-GB"/>
              </w:rPr>
              <w:t xml:space="preserve">Customer (as data exporter) </w:t>
            </w:r>
            <w:proofErr w:type="gramStart"/>
            <w:r w:rsidRPr="00053F22">
              <w:rPr>
                <w:lang w:val="en-GB"/>
              </w:rPr>
              <w:t>enters into</w:t>
            </w:r>
            <w:proofErr w:type="gramEnd"/>
            <w:r w:rsidRPr="00053F22">
              <w:rPr>
                <w:lang w:val="en-GB"/>
              </w:rPr>
              <w:t xml:space="preserve"> the Model Contract Clauses with Google LLC (as data importer) within the Admin Console, then:</w:t>
            </w:r>
          </w:p>
          <w:p w14:paraId="3C6C0839" w14:textId="77777777" w:rsidR="009C2781" w:rsidRPr="00053F22" w:rsidRDefault="009C2781" w:rsidP="00DE096B">
            <w:pPr>
              <w:rPr>
                <w:lang w:val="en-GB"/>
              </w:rPr>
            </w:pPr>
            <w:r w:rsidRPr="00053F22">
              <w:rPr>
                <w:lang w:val="en-GB"/>
              </w:rPr>
              <w:t>i. the transfers will be subject to the Model Contract Clauses; and</w:t>
            </w:r>
          </w:p>
          <w:p w14:paraId="178434DF" w14:textId="77777777" w:rsidR="009C2781" w:rsidRPr="00053F22" w:rsidRDefault="009C2781" w:rsidP="00DE096B">
            <w:pPr>
              <w:rPr>
                <w:lang w:val="en-GB"/>
              </w:rPr>
            </w:pPr>
            <w:r w:rsidRPr="00053F22">
              <w:rPr>
                <w:lang w:val="en-GB"/>
              </w:rPr>
              <w:t xml:space="preserve">ii. Google will ensure that Google LLC complies with its obligations under the Model Contract Clauses in respect of those </w:t>
            </w:r>
            <w:proofErr w:type="gramStart"/>
            <w:r w:rsidRPr="00053F22">
              <w:rPr>
                <w:lang w:val="en-GB"/>
              </w:rPr>
              <w:t>transfers;</w:t>
            </w:r>
            <w:proofErr w:type="gramEnd"/>
          </w:p>
          <w:bookmarkEnd w:id="0"/>
          <w:p w14:paraId="45ED1166" w14:textId="77777777" w:rsidR="009C2781" w:rsidRPr="00053F22" w:rsidRDefault="009C2781" w:rsidP="00DE096B">
            <w:pPr>
              <w:rPr>
                <w:lang w:val="en-GB"/>
              </w:rPr>
            </w:pPr>
          </w:p>
          <w:p w14:paraId="32C14D59" w14:textId="4E196508" w:rsidR="009C2781" w:rsidRPr="00053F22" w:rsidRDefault="009C2781" w:rsidP="00DE096B">
            <w:pPr>
              <w:rPr>
                <w:lang w:val="en-GB"/>
              </w:rPr>
            </w:pPr>
            <w:r w:rsidRPr="00053F22">
              <w:rPr>
                <w:lang w:val="en-GB"/>
              </w:rPr>
              <w:t xml:space="preserve">Agreement: </w:t>
            </w:r>
            <w:hyperlink r:id="rId19" w:history="1">
              <w:r w:rsidRPr="00053F22">
                <w:rPr>
                  <w:rStyle w:val="Hyperlink"/>
                  <w:lang w:val="en-GB"/>
                </w:rPr>
                <w:t>Google Workspace Terms of Service – Google Workspace</w:t>
              </w:r>
            </w:hyperlink>
          </w:p>
          <w:p w14:paraId="3CC11A43" w14:textId="77777777" w:rsidR="009C2781" w:rsidRPr="00053F22" w:rsidRDefault="009C2781" w:rsidP="00DE096B">
            <w:pPr>
              <w:rPr>
                <w:lang w:val="en-GB"/>
              </w:rPr>
            </w:pPr>
          </w:p>
          <w:p w14:paraId="7FFB0C2D" w14:textId="77777777" w:rsidR="009C2781" w:rsidRPr="00053F22" w:rsidRDefault="009C2781" w:rsidP="00DE096B">
            <w:pPr>
              <w:rPr>
                <w:lang w:val="en-GB"/>
              </w:rPr>
            </w:pPr>
          </w:p>
          <w:p w14:paraId="5D0F111C" w14:textId="77777777" w:rsidR="009C2781" w:rsidRPr="00053F22" w:rsidRDefault="009C2781" w:rsidP="00DE096B">
            <w:pPr>
              <w:rPr>
                <w:lang w:val="en-GB"/>
              </w:rPr>
            </w:pPr>
          </w:p>
        </w:tc>
      </w:tr>
      <w:tr w:rsidR="00DB3F4C" w:rsidRPr="00502BC9" w14:paraId="2771D94B" w14:textId="77777777" w:rsidTr="00A63EA2">
        <w:trPr>
          <w:trHeight w:val="269"/>
        </w:trPr>
        <w:tc>
          <w:tcPr>
            <w:tcW w:w="788" w:type="pct"/>
          </w:tcPr>
          <w:p w14:paraId="1CF895B9" w14:textId="27BD2A31" w:rsidR="00DB3F4C" w:rsidRPr="00053F22" w:rsidRDefault="00DB3F4C" w:rsidP="00DE096B">
            <w:pPr>
              <w:pStyle w:val="ListParagraph"/>
              <w:numPr>
                <w:ilvl w:val="0"/>
                <w:numId w:val="18"/>
              </w:numPr>
              <w:rPr>
                <w:lang w:val="en-GB"/>
              </w:rPr>
            </w:pPr>
            <w:r>
              <w:rPr>
                <w:lang w:val="en-GB"/>
              </w:rPr>
              <w:t>Gorilla Experiment Builder</w:t>
            </w:r>
            <w:r w:rsidR="0025072A">
              <w:rPr>
                <w:lang w:val="en-GB"/>
              </w:rPr>
              <w:t xml:space="preserve">, </w:t>
            </w:r>
            <w:r w:rsidR="0025072A" w:rsidRPr="0025072A">
              <w:rPr>
                <w:lang w:val="en-US"/>
              </w:rPr>
              <w:t>Cauldron Science Limited</w:t>
            </w:r>
          </w:p>
        </w:tc>
        <w:tc>
          <w:tcPr>
            <w:tcW w:w="900" w:type="pct"/>
          </w:tcPr>
          <w:p w14:paraId="07949FE5" w14:textId="78530E4F" w:rsidR="00DB3F4C" w:rsidRPr="00DB3F4C" w:rsidRDefault="00DB3F4C" w:rsidP="00DE096B">
            <w:pPr>
              <w:rPr>
                <w:lang w:val="en-US"/>
              </w:rPr>
            </w:pPr>
            <w:r w:rsidRPr="00DB3F4C">
              <w:rPr>
                <w:lang w:val="en-US"/>
              </w:rPr>
              <w:t xml:space="preserve">The Gorilla Experiment Builder is an online platform designed to help researchers and educators create, conduct, and analyze behavioral experiments, </w:t>
            </w:r>
            <w:r w:rsidRPr="00DB3F4C">
              <w:rPr>
                <w:lang w:val="en-US"/>
              </w:rPr>
              <w:lastRenderedPageBreak/>
              <w:t>primarily in the field of psychology and cognitive sciences. It allows users to design experiments without needing to write complex code, making it accessible to individuals with minimal technical expertise.</w:t>
            </w:r>
          </w:p>
        </w:tc>
        <w:tc>
          <w:tcPr>
            <w:tcW w:w="1780" w:type="pct"/>
          </w:tcPr>
          <w:p w14:paraId="6BC6C4D1" w14:textId="070EB073" w:rsidR="00DB3F4C" w:rsidRPr="00053F22" w:rsidRDefault="0025072A" w:rsidP="00DE096B">
            <w:pPr>
              <w:rPr>
                <w:lang w:val="en-GB"/>
              </w:rPr>
            </w:pPr>
            <w:r w:rsidRPr="0025072A">
              <w:rPr>
                <w:lang w:val="en-US"/>
              </w:rPr>
              <w:lastRenderedPageBreak/>
              <w:t xml:space="preserve">Participant Data collected using Gorilla is anonymous by default. The only exceptions to this are (1) when using </w:t>
            </w:r>
            <w:proofErr w:type="gramStart"/>
            <w:r w:rsidRPr="0025072A">
              <w:rPr>
                <w:lang w:val="en-US"/>
              </w:rPr>
              <w:t>email based</w:t>
            </w:r>
            <w:proofErr w:type="gramEnd"/>
            <w:r w:rsidRPr="0025072A">
              <w:rPr>
                <w:lang w:val="en-US"/>
              </w:rPr>
              <w:t xml:space="preserve"> recruitment policies as Gorilla requires the participants email address to send them emails, (2) experiments in which the researcher elects to use personally identifying participant IDs </w:t>
            </w:r>
            <w:r w:rsidRPr="0025072A">
              <w:rPr>
                <w:lang w:val="en-US"/>
              </w:rPr>
              <w:lastRenderedPageBreak/>
              <w:t>and (3) the researcher collects personally identifying data as part of their study</w:t>
            </w:r>
            <w:r>
              <w:rPr>
                <w:lang w:val="en-US"/>
              </w:rPr>
              <w:t>.</w:t>
            </w:r>
          </w:p>
        </w:tc>
        <w:tc>
          <w:tcPr>
            <w:tcW w:w="1532" w:type="pct"/>
          </w:tcPr>
          <w:p w14:paraId="6C0D83E0" w14:textId="77777777" w:rsidR="00DB3F4C" w:rsidRDefault="0025072A" w:rsidP="00DE096B">
            <w:pPr>
              <w:rPr>
                <w:lang w:val="en-GB"/>
              </w:rPr>
            </w:pPr>
            <w:r>
              <w:rPr>
                <w:lang w:val="en-GB"/>
              </w:rPr>
              <w:lastRenderedPageBreak/>
              <w:t>Data transfers outside the EEA area:</w:t>
            </w:r>
          </w:p>
          <w:p w14:paraId="2FA6D252" w14:textId="77777777" w:rsidR="0025072A" w:rsidRDefault="0025072A" w:rsidP="00DE096B">
            <w:pPr>
              <w:rPr>
                <w:lang w:val="en-US"/>
              </w:rPr>
            </w:pPr>
            <w:r w:rsidRPr="0025072A">
              <w:rPr>
                <w:b/>
                <w:bCs/>
                <w:lang w:val="en-US"/>
              </w:rPr>
              <w:t>Microsoft Azure</w:t>
            </w:r>
            <w:r w:rsidRPr="0025072A">
              <w:rPr>
                <w:lang w:val="en-US"/>
              </w:rPr>
              <w:t xml:space="preserve"> (EU – US DPF</w:t>
            </w:r>
            <w:r>
              <w:rPr>
                <w:lang w:val="en-US"/>
              </w:rPr>
              <w:t xml:space="preserve">) </w:t>
            </w:r>
            <w:r w:rsidRPr="0025072A">
              <w:rPr>
                <w:lang w:val="en-US"/>
              </w:rPr>
              <w:t>Web Hosting &amp; Data Storage,</w:t>
            </w:r>
            <w:r>
              <w:rPr>
                <w:lang w:val="en-US"/>
              </w:rPr>
              <w:t xml:space="preserve"> </w:t>
            </w:r>
            <w:r w:rsidRPr="0025072A">
              <w:rPr>
                <w:lang w:val="en-US"/>
              </w:rPr>
              <w:t xml:space="preserve">USA </w:t>
            </w:r>
          </w:p>
          <w:p w14:paraId="6F9374D5" w14:textId="77777777" w:rsidR="0025072A" w:rsidRDefault="0025072A" w:rsidP="00DE096B">
            <w:pPr>
              <w:rPr>
                <w:lang w:val="en-US"/>
              </w:rPr>
            </w:pPr>
            <w:r w:rsidRPr="0025072A">
              <w:rPr>
                <w:b/>
                <w:bCs/>
                <w:lang w:val="en-US"/>
              </w:rPr>
              <w:t>Rollbar</w:t>
            </w:r>
            <w:r w:rsidRPr="0025072A">
              <w:rPr>
                <w:lang w:val="en-US"/>
              </w:rPr>
              <w:t xml:space="preserve"> (EU – US DPF</w:t>
            </w:r>
            <w:r>
              <w:rPr>
                <w:lang w:val="en-US"/>
              </w:rPr>
              <w:t xml:space="preserve">), </w:t>
            </w:r>
            <w:r w:rsidRPr="0025072A">
              <w:rPr>
                <w:lang w:val="en-US"/>
              </w:rPr>
              <w:t xml:space="preserve">Error handling, USA, SCCs We use Rollbar for error reporting. Identifying data will only be sent to Rollbar if necessary to diagnose the error. </w:t>
            </w:r>
          </w:p>
          <w:p w14:paraId="41A7EE2B" w14:textId="77777777" w:rsidR="0025072A" w:rsidRDefault="0025072A" w:rsidP="00DE096B">
            <w:pPr>
              <w:rPr>
                <w:lang w:val="en-US"/>
              </w:rPr>
            </w:pPr>
            <w:proofErr w:type="spellStart"/>
            <w:r w:rsidRPr="0025072A">
              <w:rPr>
                <w:b/>
                <w:bCs/>
                <w:lang w:val="en-US"/>
              </w:rPr>
              <w:lastRenderedPageBreak/>
              <w:t>Sendgrid</w:t>
            </w:r>
            <w:proofErr w:type="spellEnd"/>
            <w:r w:rsidRPr="0025072A">
              <w:rPr>
                <w:lang w:val="en-US"/>
              </w:rPr>
              <w:t xml:space="preserve"> (EU – US DPF</w:t>
            </w:r>
            <w:r>
              <w:rPr>
                <w:lang w:val="en-US"/>
              </w:rPr>
              <w:t>),</w:t>
            </w:r>
            <w:r w:rsidRPr="0025072A">
              <w:rPr>
                <w:lang w:val="en-US"/>
              </w:rPr>
              <w:t xml:space="preserve"> Email Delivery, </w:t>
            </w:r>
            <w:proofErr w:type="gramStart"/>
            <w:r w:rsidRPr="0025072A">
              <w:rPr>
                <w:lang w:val="en-US"/>
              </w:rPr>
              <w:t>USA,  This</w:t>
            </w:r>
            <w:proofErr w:type="gramEnd"/>
            <w:r w:rsidRPr="0025072A">
              <w:rPr>
                <w:lang w:val="en-US"/>
              </w:rPr>
              <w:t xml:space="preserve"> is used to send transactional email to researchers (account setup, password recovery) </w:t>
            </w:r>
            <w:proofErr w:type="gramStart"/>
            <w:r w:rsidRPr="0025072A">
              <w:rPr>
                <w:lang w:val="en-US"/>
              </w:rPr>
              <w:t>and also</w:t>
            </w:r>
            <w:proofErr w:type="gramEnd"/>
            <w:r w:rsidRPr="0025072A">
              <w:rPr>
                <w:lang w:val="en-US"/>
              </w:rPr>
              <w:t xml:space="preserve"> to send transactional emails to participants to enable them to take part in studies. Emails will only be sent to participants when researchers use email-based recruitment policies, or if a participant enters their email address to receive reminder emails as part of a longitudinal study.</w:t>
            </w:r>
          </w:p>
          <w:p w14:paraId="437981B5" w14:textId="4F2460F1" w:rsidR="0025072A" w:rsidRPr="00053F22" w:rsidRDefault="0025072A" w:rsidP="00DE096B">
            <w:pPr>
              <w:rPr>
                <w:lang w:val="en-GB"/>
              </w:rPr>
            </w:pPr>
            <w:proofErr w:type="spellStart"/>
            <w:r w:rsidRPr="0025072A">
              <w:rPr>
                <w:b/>
                <w:bCs/>
                <w:lang w:val="en-US"/>
              </w:rPr>
              <w:t>PostMark</w:t>
            </w:r>
            <w:proofErr w:type="spellEnd"/>
            <w:r w:rsidRPr="0025072A">
              <w:rPr>
                <w:b/>
                <w:bCs/>
                <w:lang w:val="en-US"/>
              </w:rPr>
              <w:t xml:space="preserve"> </w:t>
            </w:r>
            <w:r w:rsidRPr="0025072A">
              <w:rPr>
                <w:lang w:val="en-US"/>
              </w:rPr>
              <w:t>(</w:t>
            </w:r>
            <w:r>
              <w:rPr>
                <w:lang w:val="en-US"/>
              </w:rPr>
              <w:t>company</w:t>
            </w:r>
            <w:r w:rsidRPr="0025072A">
              <w:rPr>
                <w:lang w:val="en-US"/>
              </w:rPr>
              <w:t xml:space="preserve"> AC PM LLC EU – US DPF)</w:t>
            </w:r>
            <w:r>
              <w:rPr>
                <w:lang w:val="en-US"/>
              </w:rPr>
              <w:t xml:space="preserve">, </w:t>
            </w:r>
            <w:r w:rsidRPr="0025072A">
              <w:rPr>
                <w:lang w:val="en-US"/>
              </w:rPr>
              <w:t>Email Delivery, USA</w:t>
            </w:r>
            <w:r>
              <w:rPr>
                <w:lang w:val="en-US"/>
              </w:rPr>
              <w:t xml:space="preserve">. </w:t>
            </w:r>
            <w:r w:rsidRPr="0025072A">
              <w:rPr>
                <w:lang w:val="en-US"/>
              </w:rPr>
              <w:t xml:space="preserve">This is used to send transactional </w:t>
            </w:r>
            <w:proofErr w:type="gramStart"/>
            <w:r w:rsidRPr="0025072A">
              <w:rPr>
                <w:lang w:val="en-US"/>
              </w:rPr>
              <w:t>email</w:t>
            </w:r>
            <w:proofErr w:type="gramEnd"/>
            <w:r w:rsidRPr="0025072A">
              <w:rPr>
                <w:lang w:val="en-US"/>
              </w:rPr>
              <w:t xml:space="preserve"> to researchers (account setup, password recovery) </w:t>
            </w:r>
            <w:proofErr w:type="gramStart"/>
            <w:r w:rsidRPr="0025072A">
              <w:rPr>
                <w:lang w:val="en-US"/>
              </w:rPr>
              <w:t>and also</w:t>
            </w:r>
            <w:proofErr w:type="gramEnd"/>
            <w:r w:rsidRPr="0025072A">
              <w:rPr>
                <w:lang w:val="en-US"/>
              </w:rPr>
              <w:t xml:space="preserve"> to send transactional emails to participants to enable them to take part in studies. Emails will only be sent to participants when researchers use email-based recruitment policies, or if a participant enters their email address to receive reminder emails as part of a longitudinal study. </w:t>
            </w:r>
          </w:p>
        </w:tc>
      </w:tr>
      <w:tr w:rsidR="009C2781" w:rsidRPr="00502BC9" w14:paraId="70DBF007" w14:textId="026A4E00" w:rsidTr="00A63EA2">
        <w:trPr>
          <w:trHeight w:val="269"/>
        </w:trPr>
        <w:tc>
          <w:tcPr>
            <w:tcW w:w="788" w:type="pct"/>
          </w:tcPr>
          <w:p w14:paraId="6430622C" w14:textId="27865D2B" w:rsidR="009C2781" w:rsidRPr="00D32192" w:rsidRDefault="009C2781" w:rsidP="00DE096B">
            <w:pPr>
              <w:pStyle w:val="ListParagraph"/>
              <w:numPr>
                <w:ilvl w:val="0"/>
                <w:numId w:val="18"/>
              </w:numPr>
              <w:rPr>
                <w:lang w:val="fr-FR"/>
              </w:rPr>
            </w:pPr>
            <w:proofErr w:type="spellStart"/>
            <w:r w:rsidRPr="00120412">
              <w:rPr>
                <w:lang w:val="fr-FR"/>
              </w:rPr>
              <w:lastRenderedPageBreak/>
              <w:t>Howspace</w:t>
            </w:r>
            <w:proofErr w:type="spellEnd"/>
            <w:r w:rsidRPr="00120412">
              <w:rPr>
                <w:lang w:val="fr-FR"/>
              </w:rPr>
              <w:t xml:space="preserve">, </w:t>
            </w:r>
            <w:r w:rsidRPr="005537A0">
              <w:rPr>
                <w:lang w:val="fr-FR"/>
              </w:rPr>
              <w:t xml:space="preserve">(2153753-6), </w:t>
            </w:r>
            <w:proofErr w:type="spellStart"/>
            <w:r w:rsidRPr="005537A0">
              <w:rPr>
                <w:lang w:val="fr-FR"/>
              </w:rPr>
              <w:t>Salomonkatu</w:t>
            </w:r>
            <w:proofErr w:type="spellEnd"/>
            <w:r w:rsidRPr="005537A0">
              <w:rPr>
                <w:lang w:val="fr-FR"/>
              </w:rPr>
              <w:t xml:space="preserve"> 17 A </w:t>
            </w:r>
            <w:proofErr w:type="gramStart"/>
            <w:r w:rsidRPr="005537A0">
              <w:rPr>
                <w:lang w:val="fr-FR"/>
              </w:rPr>
              <w:t>43 ,</w:t>
            </w:r>
            <w:proofErr w:type="gramEnd"/>
            <w:r w:rsidRPr="005537A0">
              <w:rPr>
                <w:lang w:val="fr-FR"/>
              </w:rPr>
              <w:t xml:space="preserve"> 00100 Helsinki, Finland.</w:t>
            </w:r>
          </w:p>
        </w:tc>
        <w:tc>
          <w:tcPr>
            <w:tcW w:w="900" w:type="pct"/>
          </w:tcPr>
          <w:p w14:paraId="2F3329DF" w14:textId="3EDE8C27" w:rsidR="009C2781" w:rsidRPr="00A63EA2" w:rsidRDefault="009C2781" w:rsidP="00A63EA2">
            <w:pPr>
              <w:rPr>
                <w:lang w:val="en-US"/>
              </w:rPr>
            </w:pPr>
            <w:proofErr w:type="spellStart"/>
            <w:r w:rsidRPr="00A63EA2">
              <w:rPr>
                <w:color w:val="4D5156"/>
                <w:shd w:val="clear" w:color="auto" w:fill="FFFFFF"/>
                <w:lang w:val="en-US"/>
              </w:rPr>
              <w:t>Howspace</w:t>
            </w:r>
            <w:proofErr w:type="spellEnd"/>
            <w:r w:rsidRPr="00A63EA2">
              <w:rPr>
                <w:color w:val="4D5156"/>
                <w:shd w:val="clear" w:color="auto" w:fill="FFFFFF"/>
                <w:lang w:val="en-US"/>
              </w:rPr>
              <w:t xml:space="preserve"> is </w:t>
            </w:r>
            <w:r w:rsidRPr="00A63EA2">
              <w:rPr>
                <w:rStyle w:val="Emphasis"/>
                <w:rFonts w:ascii="Arial" w:hAnsi="Arial" w:cs="Arial"/>
                <w:i w:val="0"/>
                <w:iCs w:val="0"/>
                <w:color w:val="5F6368"/>
                <w:sz w:val="21"/>
                <w:szCs w:val="21"/>
                <w:shd w:val="clear" w:color="auto" w:fill="FFFFFF"/>
                <w:lang w:val="en-US"/>
              </w:rPr>
              <w:t xml:space="preserve">a digital collaboration platform </w:t>
            </w:r>
          </w:p>
        </w:tc>
        <w:tc>
          <w:tcPr>
            <w:tcW w:w="1780" w:type="pct"/>
          </w:tcPr>
          <w:p w14:paraId="6FBAB071" w14:textId="67599143" w:rsidR="009C2781" w:rsidRPr="00D32192" w:rsidRDefault="005369DA" w:rsidP="00D32192">
            <w:pPr>
              <w:rPr>
                <w:lang w:val="en-US"/>
              </w:rPr>
            </w:pPr>
            <w:r w:rsidRPr="00490839">
              <w:rPr>
                <w:b/>
                <w:bCs/>
                <w:lang w:val="en-GB"/>
              </w:rPr>
              <w:t>Purpose of processing</w:t>
            </w:r>
            <w:r>
              <w:rPr>
                <w:b/>
                <w:bCs/>
                <w:lang w:val="en-GB"/>
              </w:rPr>
              <w:t>:</w:t>
            </w:r>
            <w:r w:rsidRPr="00053F22">
              <w:rPr>
                <w:lang w:val="en-GB"/>
              </w:rPr>
              <w:t xml:space="preserve"> </w:t>
            </w:r>
            <w:proofErr w:type="spellStart"/>
            <w:r w:rsidR="009C2781" w:rsidRPr="00D32192">
              <w:rPr>
                <w:lang w:val="en-US"/>
              </w:rPr>
              <w:t>Howspace</w:t>
            </w:r>
            <w:proofErr w:type="spellEnd"/>
            <w:r w:rsidR="009C2781" w:rsidRPr="00D32192">
              <w:rPr>
                <w:lang w:val="en-US"/>
              </w:rPr>
              <w:t xml:space="preserve"> is used to create and manage university development proc</w:t>
            </w:r>
            <w:r w:rsidR="009C2781">
              <w:rPr>
                <w:lang w:val="en-US"/>
              </w:rPr>
              <w:t>esses</w:t>
            </w:r>
            <w:r w:rsidR="009C2781" w:rsidRPr="00D32192">
              <w:rPr>
                <w:lang w:val="en-US"/>
              </w:rPr>
              <w:t>. The service allows the creation of private workspaces for selected groups and invites participants to join these workspaces. Users can use the workspaces to discuss, brainstorm, exchange information, expertise and fact sheets.</w:t>
            </w:r>
          </w:p>
          <w:p w14:paraId="680FC2C7" w14:textId="77777777" w:rsidR="009C2781" w:rsidRPr="00D32192" w:rsidRDefault="009C2781" w:rsidP="00D32192">
            <w:pPr>
              <w:rPr>
                <w:lang w:val="en-US"/>
              </w:rPr>
            </w:pPr>
          </w:p>
          <w:p w14:paraId="3FB04381" w14:textId="698497A7" w:rsidR="009C2781" w:rsidRPr="00D32192" w:rsidRDefault="005369DA" w:rsidP="00D32192">
            <w:pPr>
              <w:rPr>
                <w:lang w:val="en-US"/>
              </w:rPr>
            </w:pPr>
            <w:r w:rsidRPr="009C2781">
              <w:rPr>
                <w:b/>
                <w:bCs/>
                <w:lang w:val="en-GB"/>
              </w:rPr>
              <w:t>Type of personal data and data subject categories</w:t>
            </w:r>
            <w:r>
              <w:rPr>
                <w:b/>
                <w:bCs/>
                <w:lang w:val="en-GB"/>
              </w:rPr>
              <w:t>:</w:t>
            </w:r>
            <w:r w:rsidRPr="008F598E">
              <w:rPr>
                <w:lang w:val="en-GB"/>
              </w:rPr>
              <w:t xml:space="preserve"> </w:t>
            </w:r>
            <w:r w:rsidR="009C2781" w:rsidRPr="00D32192">
              <w:rPr>
                <w:lang w:val="en-US"/>
              </w:rPr>
              <w:t>Employees (</w:t>
            </w:r>
            <w:proofErr w:type="spellStart"/>
            <w:r w:rsidR="009C2781" w:rsidRPr="00D32192">
              <w:rPr>
                <w:lang w:val="en-US"/>
              </w:rPr>
              <w:t>authorised</w:t>
            </w:r>
            <w:proofErr w:type="spellEnd"/>
            <w:r w:rsidR="009C2781" w:rsidRPr="00D32192">
              <w:rPr>
                <w:lang w:val="en-US"/>
              </w:rPr>
              <w:t xml:space="preserve"> users of the </w:t>
            </w:r>
            <w:proofErr w:type="spellStart"/>
            <w:r w:rsidR="009C2781" w:rsidRPr="00D32192">
              <w:rPr>
                <w:lang w:val="en-US"/>
              </w:rPr>
              <w:t>Howspace</w:t>
            </w:r>
            <w:proofErr w:type="spellEnd"/>
            <w:r w:rsidR="009C2781" w:rsidRPr="00D32192">
              <w:rPr>
                <w:lang w:val="en-US"/>
              </w:rPr>
              <w:t xml:space="preserve"> platform) </w:t>
            </w:r>
          </w:p>
          <w:p w14:paraId="58DA1B77" w14:textId="5BB77D85" w:rsidR="009C2781" w:rsidRPr="00D32192" w:rsidRDefault="009C2781" w:rsidP="007B7F2D">
            <w:pPr>
              <w:rPr>
                <w:lang w:val="en-US"/>
              </w:rPr>
            </w:pPr>
            <w:r w:rsidRPr="00D32192">
              <w:rPr>
                <w:lang w:val="en-US"/>
              </w:rPr>
              <w:lastRenderedPageBreak/>
              <w:t xml:space="preserve">Personal data includes the following data fields: </w:t>
            </w:r>
            <w:r w:rsidR="007B7F2D">
              <w:rPr>
                <w:lang w:val="en-US"/>
              </w:rPr>
              <w:t>contact and log data</w:t>
            </w:r>
          </w:p>
        </w:tc>
        <w:tc>
          <w:tcPr>
            <w:tcW w:w="1532" w:type="pct"/>
          </w:tcPr>
          <w:p w14:paraId="3A55340F" w14:textId="77777777" w:rsidR="007433B8" w:rsidRPr="00D96296" w:rsidRDefault="009C2781" w:rsidP="007433B8">
            <w:pPr>
              <w:rPr>
                <w:b/>
                <w:bCs/>
                <w:lang w:val="en-US"/>
              </w:rPr>
            </w:pPr>
            <w:r w:rsidRPr="00AE70C2">
              <w:rPr>
                <w:lang w:val="en-US"/>
              </w:rPr>
              <w:lastRenderedPageBreak/>
              <w:t>Yes</w:t>
            </w:r>
            <w:r w:rsidR="00A63EA2">
              <w:rPr>
                <w:lang w:val="en-US"/>
              </w:rPr>
              <w:t>,</w:t>
            </w:r>
            <w:r w:rsidRPr="00AE70C2">
              <w:rPr>
                <w:lang w:val="en-US"/>
              </w:rPr>
              <w:t xml:space="preserve"> to </w:t>
            </w:r>
            <w:proofErr w:type="spellStart"/>
            <w:r w:rsidRPr="00AE70C2">
              <w:rPr>
                <w:lang w:val="en-US"/>
              </w:rPr>
              <w:t>Mailgun</w:t>
            </w:r>
            <w:proofErr w:type="spellEnd"/>
            <w:r w:rsidRPr="00AE70C2">
              <w:rPr>
                <w:lang w:val="en-US"/>
              </w:rPr>
              <w:t xml:space="preserve"> Technologies, Inc. United States. </w:t>
            </w:r>
            <w:r w:rsidRPr="00D32192">
              <w:rPr>
                <w:lang w:val="en-US"/>
              </w:rPr>
              <w:t>Email sending servi</w:t>
            </w:r>
            <w:r>
              <w:rPr>
                <w:lang w:val="en-US"/>
              </w:rPr>
              <w:t>ce. Transferred data: name, email address. Transfer is based on</w:t>
            </w:r>
            <w:r w:rsidR="007433B8">
              <w:rPr>
                <w:lang w:val="en-US"/>
              </w:rPr>
              <w:t xml:space="preserve"> </w:t>
            </w:r>
            <w:r w:rsidR="007433B8" w:rsidRPr="00D96296">
              <w:rPr>
                <w:b/>
                <w:bCs/>
                <w:lang w:val="en-US"/>
              </w:rPr>
              <w:t>Standard Contractual Clauses (SCC)</w:t>
            </w:r>
          </w:p>
          <w:p w14:paraId="2932535B" w14:textId="71BAE802" w:rsidR="009C2781" w:rsidRPr="00D32192" w:rsidRDefault="009C2781" w:rsidP="00D32192">
            <w:pPr>
              <w:rPr>
                <w:lang w:val="en-US"/>
              </w:rPr>
            </w:pPr>
            <w:r>
              <w:rPr>
                <w:lang w:val="en-US"/>
              </w:rPr>
              <w:t xml:space="preserve"> available from Registry Office.</w:t>
            </w:r>
          </w:p>
          <w:p w14:paraId="425C7AB3" w14:textId="77777777" w:rsidR="009C2781" w:rsidRPr="00D32192" w:rsidRDefault="009C2781" w:rsidP="00DE096B">
            <w:pPr>
              <w:rPr>
                <w:lang w:val="en-US"/>
              </w:rPr>
            </w:pPr>
          </w:p>
        </w:tc>
      </w:tr>
      <w:tr w:rsidR="009C2781" w:rsidRPr="00502BC9" w14:paraId="27721547" w14:textId="6660C7B7" w:rsidTr="00A63EA2">
        <w:trPr>
          <w:trHeight w:val="269"/>
        </w:trPr>
        <w:tc>
          <w:tcPr>
            <w:tcW w:w="788" w:type="pct"/>
          </w:tcPr>
          <w:p w14:paraId="6C66CC6D" w14:textId="115B7609" w:rsidR="00A63EA2" w:rsidRDefault="009C2781" w:rsidP="00DE096B">
            <w:pPr>
              <w:pStyle w:val="ListParagraph"/>
              <w:numPr>
                <w:ilvl w:val="0"/>
                <w:numId w:val="18"/>
              </w:numPr>
              <w:rPr>
                <w:lang w:val="en-GB"/>
              </w:rPr>
            </w:pPr>
            <w:r>
              <w:rPr>
                <w:lang w:val="en-GB"/>
              </w:rPr>
              <w:lastRenderedPageBreak/>
              <w:t xml:space="preserve">IGL-Technologies </w:t>
            </w:r>
          </w:p>
          <w:p w14:paraId="7794C0E6" w14:textId="5436C2AF" w:rsidR="009C2781" w:rsidRPr="00053F22" w:rsidRDefault="009C2781" w:rsidP="00A63EA2">
            <w:pPr>
              <w:pStyle w:val="ListParagraph"/>
              <w:rPr>
                <w:lang w:val="en-GB"/>
              </w:rPr>
            </w:pPr>
          </w:p>
        </w:tc>
        <w:tc>
          <w:tcPr>
            <w:tcW w:w="900" w:type="pct"/>
          </w:tcPr>
          <w:p w14:paraId="20B92361" w14:textId="53D79AD3" w:rsidR="009C2781" w:rsidRPr="008F598E" w:rsidRDefault="005369DA" w:rsidP="005369DA">
            <w:pPr>
              <w:rPr>
                <w:lang w:val="en-GB"/>
              </w:rPr>
            </w:pPr>
            <w:r>
              <w:rPr>
                <w:lang w:val="en-GB"/>
              </w:rPr>
              <w:t>Paid parking on the University of Jyväskylä campuses</w:t>
            </w:r>
          </w:p>
        </w:tc>
        <w:tc>
          <w:tcPr>
            <w:tcW w:w="1780" w:type="pct"/>
          </w:tcPr>
          <w:p w14:paraId="4B51BB2A" w14:textId="295750A1" w:rsidR="005369DA" w:rsidRDefault="00A63EA2" w:rsidP="00DE096B">
            <w:pPr>
              <w:rPr>
                <w:lang w:val="en-GB"/>
              </w:rPr>
            </w:pPr>
            <w:r w:rsidRPr="00490839">
              <w:rPr>
                <w:b/>
                <w:bCs/>
                <w:lang w:val="en-GB"/>
              </w:rPr>
              <w:t>Purpose of processing</w:t>
            </w:r>
            <w:r>
              <w:rPr>
                <w:b/>
                <w:bCs/>
                <w:lang w:val="en-GB"/>
              </w:rPr>
              <w:t>:</w:t>
            </w:r>
            <w:r w:rsidRPr="00053F22">
              <w:rPr>
                <w:lang w:val="en-GB"/>
              </w:rPr>
              <w:t xml:space="preserve"> </w:t>
            </w:r>
            <w:r w:rsidR="005369DA">
              <w:rPr>
                <w:lang w:val="en-GB"/>
              </w:rPr>
              <w:t>O</w:t>
            </w:r>
            <w:r w:rsidR="005369DA" w:rsidRPr="008F598E">
              <w:rPr>
                <w:lang w:val="en-GB"/>
              </w:rPr>
              <w:t>perator service to manage and charge users for the operation of the University of Jyväskylä's parking areas. Personal data is collected from all users of the service to enable personal parking reservations. Car registration numbers are used to monitor parking. Telephone numbers and e-mails are used to send payment reminders.</w:t>
            </w:r>
          </w:p>
          <w:p w14:paraId="4A7B3533" w14:textId="77777777" w:rsidR="005369DA" w:rsidRDefault="005369DA" w:rsidP="00DE096B">
            <w:pPr>
              <w:rPr>
                <w:lang w:val="en-GB"/>
              </w:rPr>
            </w:pPr>
          </w:p>
          <w:p w14:paraId="76A5F2CD" w14:textId="73B4B6D2" w:rsidR="009C2781" w:rsidRPr="008F598E" w:rsidRDefault="005369DA" w:rsidP="00DE096B">
            <w:pPr>
              <w:rPr>
                <w:lang w:val="en-GB"/>
              </w:rPr>
            </w:pPr>
            <w:r w:rsidRPr="009C2781">
              <w:rPr>
                <w:b/>
                <w:bCs/>
                <w:lang w:val="en-GB"/>
              </w:rPr>
              <w:t>Type of personal data and data subject categories</w:t>
            </w:r>
            <w:r w:rsidRPr="008F598E">
              <w:rPr>
                <w:lang w:val="en-GB"/>
              </w:rPr>
              <w:t xml:space="preserve"> </w:t>
            </w:r>
            <w:proofErr w:type="gramStart"/>
            <w:r w:rsidR="009C2781" w:rsidRPr="008F598E">
              <w:rPr>
                <w:lang w:val="en-GB"/>
              </w:rPr>
              <w:t>The</w:t>
            </w:r>
            <w:proofErr w:type="gramEnd"/>
            <w:r w:rsidR="009C2781" w:rsidRPr="008F598E">
              <w:rPr>
                <w:lang w:val="en-GB"/>
              </w:rPr>
              <w:t xml:space="preserve"> data mentioned here are those processed by the service provider on behalf of the controller </w:t>
            </w:r>
            <w:r w:rsidR="009C2781">
              <w:rPr>
                <w:lang w:val="en-GB"/>
              </w:rPr>
              <w:t>(</w:t>
            </w:r>
            <w:r w:rsidR="009C2781" w:rsidRPr="008F598E">
              <w:rPr>
                <w:lang w:val="en-GB"/>
              </w:rPr>
              <w:t>JY</w:t>
            </w:r>
            <w:r w:rsidR="009C2781">
              <w:rPr>
                <w:lang w:val="en-GB"/>
              </w:rPr>
              <w:t>U)</w:t>
            </w:r>
            <w:r w:rsidR="009C2781" w:rsidRPr="008F598E">
              <w:rPr>
                <w:lang w:val="en-GB"/>
              </w:rPr>
              <w:t xml:space="preserve">. For </w:t>
            </w:r>
            <w:r w:rsidR="009C2781">
              <w:rPr>
                <w:lang w:val="en-GB"/>
              </w:rPr>
              <w:t>other personal data</w:t>
            </w:r>
            <w:r w:rsidR="009C2781" w:rsidRPr="008F598E">
              <w:rPr>
                <w:lang w:val="en-GB"/>
              </w:rPr>
              <w:t>, the service provider</w:t>
            </w:r>
            <w:r w:rsidR="009C2781" w:rsidRPr="005369DA">
              <w:rPr>
                <w:i/>
                <w:iCs/>
                <w:u w:val="single"/>
                <w:lang w:val="en-GB"/>
              </w:rPr>
              <w:t xml:space="preserve"> acts as the data controller</w:t>
            </w:r>
            <w:r w:rsidR="009C2781" w:rsidRPr="008F598E">
              <w:rPr>
                <w:lang w:val="en-GB"/>
              </w:rPr>
              <w:t xml:space="preserve"> and the processing is described in the company's privacy notice </w:t>
            </w:r>
            <w:r w:rsidR="009C2781">
              <w:rPr>
                <w:lang w:val="en-GB"/>
              </w:rPr>
              <w:t>(</w:t>
            </w:r>
            <w:proofErr w:type="spellStart"/>
            <w:r w:rsidR="009C2781" w:rsidRPr="008F598E">
              <w:rPr>
                <w:lang w:val="en-GB"/>
              </w:rPr>
              <w:t>eParking</w:t>
            </w:r>
            <w:proofErr w:type="spellEnd"/>
            <w:r w:rsidR="009C2781">
              <w:rPr>
                <w:lang w:val="en-GB"/>
              </w:rPr>
              <w:t>)</w:t>
            </w:r>
          </w:p>
          <w:p w14:paraId="576090EA" w14:textId="77777777" w:rsidR="009C2781" w:rsidRPr="008F598E" w:rsidRDefault="009C2781" w:rsidP="00DE096B">
            <w:pPr>
              <w:rPr>
                <w:lang w:val="en-GB"/>
              </w:rPr>
            </w:pPr>
          </w:p>
          <w:p w14:paraId="71B6B75B" w14:textId="76D6998F" w:rsidR="009C2781" w:rsidRPr="008F598E" w:rsidRDefault="009C2781" w:rsidP="00DE096B">
            <w:pPr>
              <w:rPr>
                <w:lang w:val="en-GB"/>
              </w:rPr>
            </w:pPr>
            <w:r w:rsidRPr="008F598E">
              <w:rPr>
                <w:lang w:val="en-GB"/>
              </w:rPr>
              <w:t xml:space="preserve">Employees </w:t>
            </w:r>
          </w:p>
          <w:p w14:paraId="09A524B5" w14:textId="77777777" w:rsidR="009C2781" w:rsidRPr="008F598E" w:rsidRDefault="009C2781" w:rsidP="00DE096B">
            <w:pPr>
              <w:rPr>
                <w:lang w:val="en-GB"/>
              </w:rPr>
            </w:pPr>
            <w:r w:rsidRPr="008F598E">
              <w:rPr>
                <w:lang w:val="en-GB"/>
              </w:rPr>
              <w:t xml:space="preserve">Through HAKA login </w:t>
            </w:r>
          </w:p>
          <w:p w14:paraId="1F7DF6F8" w14:textId="77777777" w:rsidR="009C2781" w:rsidRPr="008F598E" w:rsidRDefault="009C2781" w:rsidP="00DE096B">
            <w:pPr>
              <w:rPr>
                <w:lang w:val="en-GB"/>
              </w:rPr>
            </w:pPr>
            <w:r w:rsidRPr="008F598E">
              <w:rPr>
                <w:lang w:val="en-GB"/>
              </w:rPr>
              <w:t xml:space="preserve">Name details </w:t>
            </w:r>
          </w:p>
          <w:p w14:paraId="3E7838F3" w14:textId="77777777" w:rsidR="009C2781" w:rsidRPr="008F598E" w:rsidRDefault="009C2781" w:rsidP="00DE096B">
            <w:pPr>
              <w:rPr>
                <w:lang w:val="en-GB"/>
              </w:rPr>
            </w:pPr>
            <w:r w:rsidRPr="008F598E">
              <w:rPr>
                <w:lang w:val="en-GB"/>
              </w:rPr>
              <w:t>E-mail address</w:t>
            </w:r>
          </w:p>
          <w:p w14:paraId="252D863D" w14:textId="77777777" w:rsidR="009C2781" w:rsidRPr="008F598E" w:rsidRDefault="009C2781" w:rsidP="00DE096B">
            <w:pPr>
              <w:rPr>
                <w:lang w:val="en-GB"/>
              </w:rPr>
            </w:pPr>
            <w:r w:rsidRPr="008F598E">
              <w:rPr>
                <w:lang w:val="en-GB"/>
              </w:rPr>
              <w:t>Haka ID</w:t>
            </w:r>
          </w:p>
          <w:p w14:paraId="5E83A255" w14:textId="77777777" w:rsidR="009C2781" w:rsidRPr="008F598E" w:rsidRDefault="009C2781" w:rsidP="00DE096B">
            <w:pPr>
              <w:rPr>
                <w:lang w:val="en-GB"/>
              </w:rPr>
            </w:pPr>
            <w:r w:rsidRPr="008F598E">
              <w:rPr>
                <w:lang w:val="en-GB"/>
              </w:rPr>
              <w:t>User group (Student/Staff)</w:t>
            </w:r>
          </w:p>
          <w:p w14:paraId="7AF77E5A" w14:textId="77777777" w:rsidR="009C2781" w:rsidRPr="008F598E" w:rsidRDefault="009C2781" w:rsidP="00DE096B">
            <w:pPr>
              <w:rPr>
                <w:lang w:val="en-GB"/>
              </w:rPr>
            </w:pPr>
          </w:p>
          <w:p w14:paraId="798F0266" w14:textId="3FC45373" w:rsidR="009C2781" w:rsidRPr="00053F22" w:rsidRDefault="009C2781" w:rsidP="00DE096B">
            <w:pPr>
              <w:rPr>
                <w:lang w:val="en-GB"/>
              </w:rPr>
            </w:pPr>
            <w:r>
              <w:rPr>
                <w:lang w:val="en-GB"/>
              </w:rPr>
              <w:t xml:space="preserve">People not part of </w:t>
            </w:r>
            <w:r w:rsidRPr="008F598E">
              <w:rPr>
                <w:lang w:val="en-GB"/>
              </w:rPr>
              <w:t xml:space="preserve">the </w:t>
            </w:r>
            <w:r>
              <w:rPr>
                <w:lang w:val="en-GB"/>
              </w:rPr>
              <w:t xml:space="preserve">university </w:t>
            </w:r>
            <w:r w:rsidRPr="008F598E">
              <w:rPr>
                <w:lang w:val="en-GB"/>
              </w:rPr>
              <w:t>community</w:t>
            </w:r>
            <w:r w:rsidR="005369DA">
              <w:rPr>
                <w:lang w:val="en-GB"/>
              </w:rPr>
              <w:t xml:space="preserve"> (no HAKA login): </w:t>
            </w:r>
            <w:r w:rsidRPr="008F598E">
              <w:rPr>
                <w:lang w:val="en-GB"/>
              </w:rPr>
              <w:t>The IGL is the controller of the data in its entirety and the data is not processed on behalf of the JY.</w:t>
            </w:r>
          </w:p>
        </w:tc>
        <w:tc>
          <w:tcPr>
            <w:tcW w:w="1532" w:type="pct"/>
          </w:tcPr>
          <w:p w14:paraId="7E5BEBCD" w14:textId="640E3A98" w:rsidR="009C2781" w:rsidRPr="00053F22" w:rsidRDefault="009C2781" w:rsidP="00DE096B">
            <w:pPr>
              <w:rPr>
                <w:lang w:val="en-GB"/>
              </w:rPr>
            </w:pPr>
            <w:r>
              <w:rPr>
                <w:lang w:val="en-GB"/>
              </w:rPr>
              <w:t>No data transfers outside EU/EEA area.</w:t>
            </w:r>
          </w:p>
        </w:tc>
      </w:tr>
      <w:tr w:rsidR="00812885" w:rsidRPr="00502BC9" w14:paraId="3A91908C" w14:textId="77777777" w:rsidTr="00A63EA2">
        <w:trPr>
          <w:trHeight w:val="269"/>
        </w:trPr>
        <w:tc>
          <w:tcPr>
            <w:tcW w:w="788" w:type="pct"/>
          </w:tcPr>
          <w:p w14:paraId="6797BB3D" w14:textId="2D2CE5E9" w:rsidR="00812885" w:rsidRPr="00053F22" w:rsidRDefault="00DB352A" w:rsidP="00DE096B">
            <w:pPr>
              <w:pStyle w:val="ListParagraph"/>
              <w:numPr>
                <w:ilvl w:val="0"/>
                <w:numId w:val="18"/>
              </w:numPr>
              <w:rPr>
                <w:lang w:val="en-GB"/>
              </w:rPr>
            </w:pPr>
            <w:r>
              <w:rPr>
                <w:lang w:val="en-GB"/>
              </w:rPr>
              <w:t xml:space="preserve">Keystone Academic Solutions AS, </w:t>
            </w:r>
            <w:proofErr w:type="spellStart"/>
            <w:r>
              <w:rPr>
                <w:lang w:val="en-GB"/>
              </w:rPr>
              <w:t>Rolfsbuktvie</w:t>
            </w:r>
            <w:r>
              <w:rPr>
                <w:lang w:val="en-GB"/>
              </w:rPr>
              <w:lastRenderedPageBreak/>
              <w:t>n</w:t>
            </w:r>
            <w:proofErr w:type="spellEnd"/>
            <w:r>
              <w:rPr>
                <w:lang w:val="en-GB"/>
              </w:rPr>
              <w:t xml:space="preserve"> 4D, 1364 Fornebu, </w:t>
            </w:r>
            <w:proofErr w:type="spellStart"/>
            <w:r>
              <w:rPr>
                <w:lang w:val="en-GB"/>
              </w:rPr>
              <w:t>Norwey</w:t>
            </w:r>
            <w:proofErr w:type="spellEnd"/>
          </w:p>
        </w:tc>
        <w:tc>
          <w:tcPr>
            <w:tcW w:w="900" w:type="pct"/>
          </w:tcPr>
          <w:p w14:paraId="2CFC5E5D" w14:textId="77777777" w:rsidR="00DB352A" w:rsidRPr="00DA30DE" w:rsidRDefault="00DB352A" w:rsidP="00DB352A">
            <w:pPr>
              <w:spacing w:after="160" w:line="278" w:lineRule="auto"/>
              <w:rPr>
                <w:lang w:val="en-US"/>
              </w:rPr>
            </w:pPr>
            <w:r>
              <w:rPr>
                <w:lang w:val="en-US"/>
              </w:rPr>
              <w:lastRenderedPageBreak/>
              <w:t xml:space="preserve">Web-based </w:t>
            </w:r>
            <w:r w:rsidRPr="00DB352A">
              <w:rPr>
                <w:b/>
                <w:bCs/>
                <w:i/>
                <w:iCs/>
                <w:lang w:val="en-US"/>
              </w:rPr>
              <w:t xml:space="preserve">marketing </w:t>
            </w:r>
            <w:r>
              <w:rPr>
                <w:lang w:val="en-US"/>
              </w:rPr>
              <w:t xml:space="preserve">software </w:t>
            </w:r>
            <w:proofErr w:type="spellStart"/>
            <w:r w:rsidRPr="00DB352A">
              <w:rPr>
                <w:b/>
                <w:bCs/>
                <w:i/>
                <w:iCs/>
                <w:lang w:val="en-US"/>
              </w:rPr>
              <w:t>platfrom</w:t>
            </w:r>
            <w:proofErr w:type="spellEnd"/>
            <w:r w:rsidRPr="00DB352A">
              <w:rPr>
                <w:b/>
                <w:bCs/>
                <w:i/>
                <w:iCs/>
                <w:lang w:val="en-US"/>
              </w:rPr>
              <w:t>,</w:t>
            </w:r>
            <w:r>
              <w:rPr>
                <w:lang w:val="en-US"/>
              </w:rPr>
              <w:t xml:space="preserve"> </w:t>
            </w:r>
            <w:r w:rsidRPr="00DA30DE">
              <w:rPr>
                <w:lang w:val="en-US"/>
              </w:rPr>
              <w:t xml:space="preserve">Personal data processing </w:t>
            </w:r>
            <w:r w:rsidRPr="00DA30DE">
              <w:rPr>
                <w:lang w:val="en-US"/>
              </w:rPr>
              <w:lastRenderedPageBreak/>
              <w:t>agreement available online: https://www.keg.com/data/sub-processor-overview</w:t>
            </w:r>
          </w:p>
          <w:p w14:paraId="42F70C05" w14:textId="68BCD94B" w:rsidR="00812885" w:rsidRPr="00DB352A" w:rsidRDefault="00812885" w:rsidP="00DE096B">
            <w:pPr>
              <w:rPr>
                <w:lang w:val="en-US"/>
              </w:rPr>
            </w:pPr>
          </w:p>
        </w:tc>
        <w:tc>
          <w:tcPr>
            <w:tcW w:w="1780" w:type="pct"/>
          </w:tcPr>
          <w:p w14:paraId="17E36AF9" w14:textId="16EF2B78" w:rsidR="00DB352A" w:rsidRPr="002C603A" w:rsidRDefault="00DB352A" w:rsidP="00DB352A">
            <w:pPr>
              <w:spacing w:after="160" w:line="278" w:lineRule="auto"/>
              <w:rPr>
                <w:lang w:val="en-US"/>
              </w:rPr>
            </w:pPr>
            <w:r w:rsidRPr="002C603A">
              <w:rPr>
                <w:lang w:val="en-US"/>
              </w:rPr>
              <w:lastRenderedPageBreak/>
              <w:t xml:space="preserve">Keystone provides </w:t>
            </w:r>
            <w:r>
              <w:rPr>
                <w:lang w:val="en-US"/>
              </w:rPr>
              <w:t>university</w:t>
            </w:r>
            <w:r w:rsidRPr="002C603A">
              <w:rPr>
                <w:lang w:val="en-US"/>
              </w:rPr>
              <w:t xml:space="preserve"> with access to a web-based marketing automation software platform which facilitates for the </w:t>
            </w:r>
            <w:r>
              <w:rPr>
                <w:lang w:val="en-US"/>
              </w:rPr>
              <w:t>university</w:t>
            </w:r>
            <w:r w:rsidRPr="002C603A">
              <w:rPr>
                <w:lang w:val="en-US"/>
              </w:rPr>
              <w:t xml:space="preserve"> collecting, storing </w:t>
            </w:r>
            <w:r w:rsidRPr="002C603A">
              <w:rPr>
                <w:lang w:val="en-US"/>
              </w:rPr>
              <w:lastRenderedPageBreak/>
              <w:t xml:space="preserve">and managing lead data collected via lead forms or imported into the system by the </w:t>
            </w:r>
            <w:r>
              <w:rPr>
                <w:lang w:val="en-US"/>
              </w:rPr>
              <w:t>university</w:t>
            </w:r>
            <w:r w:rsidRPr="002C603A">
              <w:rPr>
                <w:lang w:val="en-US"/>
              </w:rPr>
              <w:t xml:space="preserve"> (the “</w:t>
            </w:r>
            <w:r w:rsidRPr="002C603A">
              <w:rPr>
                <w:b/>
                <w:bCs/>
                <w:lang w:val="en-US"/>
              </w:rPr>
              <w:t>Platform</w:t>
            </w:r>
            <w:r w:rsidRPr="002C603A">
              <w:rPr>
                <w:lang w:val="en-US"/>
              </w:rPr>
              <w:t>”). The Platform includes various statistics, communication, customization and management tools.</w:t>
            </w:r>
          </w:p>
          <w:p w14:paraId="29C86385" w14:textId="380B7425" w:rsidR="00DB352A" w:rsidRDefault="00DB352A" w:rsidP="007B7F2D">
            <w:pPr>
              <w:spacing w:after="160" w:line="278" w:lineRule="auto"/>
              <w:rPr>
                <w:lang w:val="en-US"/>
              </w:rPr>
            </w:pPr>
            <w:r w:rsidRPr="002C603A">
              <w:rPr>
                <w:b/>
                <w:bCs/>
                <w:lang w:val="en-US"/>
              </w:rPr>
              <w:t>Categories of data subjects:</w:t>
            </w:r>
            <w:r>
              <w:rPr>
                <w:lang w:val="en-US"/>
              </w:rPr>
              <w:t xml:space="preserve"> e</w:t>
            </w:r>
            <w:r w:rsidRPr="002C603A">
              <w:rPr>
                <w:lang w:val="en-US"/>
              </w:rPr>
              <w:t>mployees of the controller, leads and enrolled students or course participants.</w:t>
            </w:r>
          </w:p>
          <w:p w14:paraId="1A94F522" w14:textId="77777777" w:rsidR="00812885" w:rsidRPr="00DB352A" w:rsidRDefault="00812885" w:rsidP="00DE096B">
            <w:pPr>
              <w:rPr>
                <w:b/>
                <w:bCs/>
                <w:lang w:val="en-US"/>
              </w:rPr>
            </w:pPr>
          </w:p>
        </w:tc>
        <w:tc>
          <w:tcPr>
            <w:tcW w:w="1532" w:type="pct"/>
          </w:tcPr>
          <w:p w14:paraId="50EBC8C6" w14:textId="0D648E1F" w:rsidR="00DB352A" w:rsidRPr="00DA30DE" w:rsidRDefault="00DB352A" w:rsidP="00DB352A">
            <w:pPr>
              <w:spacing w:after="160" w:line="278" w:lineRule="auto"/>
              <w:rPr>
                <w:lang w:val="en-US"/>
              </w:rPr>
            </w:pPr>
            <w:r w:rsidRPr="00DA30DE">
              <w:rPr>
                <w:lang w:val="en-US"/>
              </w:rPr>
              <w:lastRenderedPageBreak/>
              <w:t>Personal data is transferred to the United States, transfer basis/</w:t>
            </w:r>
            <w:r>
              <w:rPr>
                <w:lang w:val="en-US"/>
              </w:rPr>
              <w:t>safety</w:t>
            </w:r>
            <w:r w:rsidRPr="00DA30DE">
              <w:rPr>
                <w:lang w:val="en-US"/>
              </w:rPr>
              <w:t xml:space="preserve"> measures EU–US </w:t>
            </w:r>
            <w:r w:rsidRPr="00DA30DE">
              <w:rPr>
                <w:lang w:val="en-US"/>
              </w:rPr>
              <w:lastRenderedPageBreak/>
              <w:t>DPF adequacy decision or Commission model contract clauses</w:t>
            </w:r>
            <w:r>
              <w:rPr>
                <w:lang w:val="en-US"/>
              </w:rPr>
              <w:t xml:space="preserve"> (SCC)</w:t>
            </w:r>
            <w:r w:rsidRPr="00DA30DE">
              <w:rPr>
                <w:lang w:val="en-US"/>
              </w:rPr>
              <w:t>.</w:t>
            </w:r>
          </w:p>
          <w:p w14:paraId="0082405B" w14:textId="77777777" w:rsidR="00DB352A" w:rsidRDefault="00DB352A" w:rsidP="00DB352A">
            <w:pPr>
              <w:rPr>
                <w:lang w:val="en-US"/>
              </w:rPr>
            </w:pPr>
            <w:proofErr w:type="spellStart"/>
            <w:r w:rsidRPr="00DA30DE">
              <w:rPr>
                <w:lang w:val="en-US"/>
              </w:rPr>
              <w:t>Subprocessors</w:t>
            </w:r>
            <w:proofErr w:type="spellEnd"/>
            <w:r w:rsidRPr="00DA30DE">
              <w:rPr>
                <w:lang w:val="en-US"/>
              </w:rPr>
              <w:t xml:space="preserve">, see </w:t>
            </w:r>
            <w:hyperlink r:id="rId20" w:history="1">
              <w:r w:rsidRPr="00DA30DE">
                <w:rPr>
                  <w:rStyle w:val="Hyperlink"/>
                  <w:lang w:val="en-US"/>
                </w:rPr>
                <w:t>https://www.keg.com/data/sub-</w:t>
              </w:r>
            </w:hyperlink>
            <w:hyperlink r:id="rId21" w:history="1">
              <w:r w:rsidRPr="00DA30DE">
                <w:rPr>
                  <w:rStyle w:val="Hyperlink"/>
                  <w:lang w:val="en-US"/>
                </w:rPr>
                <w:t>processor-overview</w:t>
              </w:r>
            </w:hyperlink>
          </w:p>
          <w:p w14:paraId="5F8CE09B" w14:textId="77777777" w:rsidR="00812885" w:rsidRPr="00DB352A" w:rsidRDefault="00812885" w:rsidP="00DE096B">
            <w:pPr>
              <w:rPr>
                <w:lang w:val="en-US"/>
              </w:rPr>
            </w:pPr>
          </w:p>
        </w:tc>
      </w:tr>
      <w:tr w:rsidR="009C2781" w:rsidRPr="00053F22" w14:paraId="4557035F" w14:textId="427897C7" w:rsidTr="00A63EA2">
        <w:trPr>
          <w:trHeight w:val="269"/>
        </w:trPr>
        <w:tc>
          <w:tcPr>
            <w:tcW w:w="788" w:type="pct"/>
          </w:tcPr>
          <w:p w14:paraId="56D8403A" w14:textId="77777777" w:rsidR="009C2781" w:rsidRPr="00053F22" w:rsidRDefault="009C2781" w:rsidP="00DE096B">
            <w:pPr>
              <w:pStyle w:val="ListParagraph"/>
              <w:numPr>
                <w:ilvl w:val="0"/>
                <w:numId w:val="18"/>
              </w:numPr>
              <w:rPr>
                <w:lang w:val="en-GB"/>
              </w:rPr>
            </w:pPr>
            <w:r w:rsidRPr="00053F22">
              <w:rPr>
                <w:lang w:val="en-GB"/>
              </w:rPr>
              <w:lastRenderedPageBreak/>
              <w:t>Kielo, CGI fi</w:t>
            </w:r>
          </w:p>
        </w:tc>
        <w:tc>
          <w:tcPr>
            <w:tcW w:w="900" w:type="pct"/>
          </w:tcPr>
          <w:p w14:paraId="10A3D7A1" w14:textId="2B0C4702" w:rsidR="009C2781" w:rsidRPr="00053F22" w:rsidRDefault="009C2781" w:rsidP="00DE096B">
            <w:pPr>
              <w:rPr>
                <w:lang w:val="en-GB"/>
              </w:rPr>
            </w:pPr>
            <w:r w:rsidRPr="00053F22">
              <w:rPr>
                <w:lang w:val="en-GB"/>
              </w:rPr>
              <w:t>Management of business premises</w:t>
            </w:r>
          </w:p>
        </w:tc>
        <w:tc>
          <w:tcPr>
            <w:tcW w:w="1780" w:type="pct"/>
          </w:tcPr>
          <w:p w14:paraId="4124D8B2" w14:textId="6D84B69D" w:rsidR="009C2781" w:rsidRPr="00053F22" w:rsidRDefault="005369DA" w:rsidP="00DE096B">
            <w:pPr>
              <w:rPr>
                <w:lang w:val="en-GB"/>
              </w:rPr>
            </w:pPr>
            <w:r w:rsidRPr="00490839">
              <w:rPr>
                <w:b/>
                <w:bCs/>
                <w:lang w:val="en-GB"/>
              </w:rPr>
              <w:t>Purpose of processing</w:t>
            </w:r>
            <w:r>
              <w:rPr>
                <w:b/>
                <w:bCs/>
                <w:lang w:val="en-GB"/>
              </w:rPr>
              <w:t>:</w:t>
            </w:r>
            <w:r w:rsidRPr="00053F22">
              <w:rPr>
                <w:lang w:val="en-GB"/>
              </w:rPr>
              <w:t xml:space="preserve"> </w:t>
            </w:r>
            <w:r w:rsidR="009C2781" w:rsidRPr="00053F22">
              <w:rPr>
                <w:lang w:val="en-GB"/>
              </w:rPr>
              <w:t xml:space="preserve">Business premise rentals and /or services. </w:t>
            </w:r>
          </w:p>
          <w:p w14:paraId="3D9A0685" w14:textId="41EAFF5D" w:rsidR="009C2781" w:rsidRPr="00053F22" w:rsidRDefault="005369DA" w:rsidP="00DE096B">
            <w:pPr>
              <w:rPr>
                <w:lang w:val="en-GB"/>
              </w:rPr>
            </w:pPr>
            <w:r w:rsidRPr="009C2781">
              <w:rPr>
                <w:b/>
                <w:bCs/>
                <w:lang w:val="en-GB"/>
              </w:rPr>
              <w:t>Type of personal data and data subject categories</w:t>
            </w:r>
          </w:p>
          <w:p w14:paraId="634FDF75" w14:textId="787DBE0E" w:rsidR="009C2781" w:rsidRPr="00053F22" w:rsidRDefault="009C2781" w:rsidP="00DE096B">
            <w:pPr>
              <w:rPr>
                <w:lang w:val="en-GB"/>
              </w:rPr>
            </w:pPr>
            <w:r w:rsidRPr="00053F22">
              <w:rPr>
                <w:lang w:val="en-GB"/>
              </w:rPr>
              <w:t xml:space="preserve">•contact </w:t>
            </w:r>
            <w:r w:rsidR="007B7F2D">
              <w:rPr>
                <w:lang w:val="en-GB"/>
              </w:rPr>
              <w:t>and i</w:t>
            </w:r>
            <w:r w:rsidRPr="00053F22">
              <w:rPr>
                <w:lang w:val="en-GB"/>
              </w:rPr>
              <w:t xml:space="preserve">dentification </w:t>
            </w:r>
            <w:proofErr w:type="gramStart"/>
            <w:r w:rsidRPr="00053F22">
              <w:rPr>
                <w:lang w:val="en-GB"/>
              </w:rPr>
              <w:t>information;</w:t>
            </w:r>
            <w:proofErr w:type="gramEnd"/>
            <w:r w:rsidRPr="00053F22">
              <w:rPr>
                <w:lang w:val="en-GB"/>
              </w:rPr>
              <w:t xml:space="preserve"> such as date of birth </w:t>
            </w:r>
          </w:p>
          <w:p w14:paraId="0A3C81D2" w14:textId="77777777" w:rsidR="009C2781" w:rsidRPr="00053F22" w:rsidRDefault="009C2781" w:rsidP="00DE096B">
            <w:pPr>
              <w:rPr>
                <w:lang w:val="en-GB"/>
              </w:rPr>
            </w:pPr>
          </w:p>
        </w:tc>
        <w:tc>
          <w:tcPr>
            <w:tcW w:w="1532" w:type="pct"/>
          </w:tcPr>
          <w:p w14:paraId="4E4D017F" w14:textId="493C3254" w:rsidR="009C2781" w:rsidRPr="00053F22" w:rsidRDefault="009C2781" w:rsidP="00DE096B">
            <w:pPr>
              <w:rPr>
                <w:lang w:val="en-GB"/>
              </w:rPr>
            </w:pPr>
            <w:r w:rsidRPr="00053F22">
              <w:rPr>
                <w:lang w:val="en-GB"/>
              </w:rPr>
              <w:t>Not transferred.</w:t>
            </w:r>
          </w:p>
          <w:p w14:paraId="7B3F456B" w14:textId="77777777" w:rsidR="009C2781" w:rsidRPr="00053F22" w:rsidRDefault="009C2781" w:rsidP="00DE096B">
            <w:pPr>
              <w:rPr>
                <w:lang w:val="en-GB"/>
              </w:rPr>
            </w:pPr>
          </w:p>
        </w:tc>
      </w:tr>
      <w:tr w:rsidR="009C2781" w:rsidRPr="00053F22" w14:paraId="6105DBF1" w14:textId="31048C5C" w:rsidTr="00A63EA2">
        <w:trPr>
          <w:trHeight w:val="269"/>
        </w:trPr>
        <w:tc>
          <w:tcPr>
            <w:tcW w:w="788" w:type="pct"/>
          </w:tcPr>
          <w:p w14:paraId="362923C3" w14:textId="55376B52" w:rsidR="009C2781" w:rsidRPr="00053F22" w:rsidRDefault="009C2781" w:rsidP="00DE096B">
            <w:pPr>
              <w:pStyle w:val="ListParagraph"/>
              <w:numPr>
                <w:ilvl w:val="0"/>
                <w:numId w:val="18"/>
              </w:numPr>
              <w:rPr>
                <w:lang w:val="en-GB"/>
              </w:rPr>
            </w:pPr>
            <w:proofErr w:type="spellStart"/>
            <w:r w:rsidRPr="00053F22">
              <w:rPr>
                <w:lang w:val="en-GB"/>
              </w:rPr>
              <w:t>Kongressi</w:t>
            </w:r>
            <w:proofErr w:type="spellEnd"/>
            <w:r w:rsidRPr="00053F22">
              <w:rPr>
                <w:lang w:val="en-GB"/>
              </w:rPr>
              <w:t>, Data Prisma Oy</w:t>
            </w:r>
          </w:p>
        </w:tc>
        <w:tc>
          <w:tcPr>
            <w:tcW w:w="900" w:type="pct"/>
          </w:tcPr>
          <w:p w14:paraId="5F5A1EDB" w14:textId="53B8EFF3" w:rsidR="009C2781" w:rsidRPr="00053F22" w:rsidRDefault="009C2781" w:rsidP="00DE096B">
            <w:pPr>
              <w:rPr>
                <w:lang w:val="en-GB"/>
              </w:rPr>
            </w:pPr>
            <w:r w:rsidRPr="00053F22">
              <w:rPr>
                <w:lang w:val="en-GB"/>
              </w:rPr>
              <w:t>Event administration</w:t>
            </w:r>
          </w:p>
        </w:tc>
        <w:tc>
          <w:tcPr>
            <w:tcW w:w="1780" w:type="pct"/>
          </w:tcPr>
          <w:p w14:paraId="20C2D747" w14:textId="0B29F3B2" w:rsidR="005369DA" w:rsidRDefault="005369DA" w:rsidP="00DE096B">
            <w:pPr>
              <w:rPr>
                <w:lang w:val="en-GB"/>
              </w:rPr>
            </w:pPr>
            <w:r w:rsidRPr="00490839">
              <w:rPr>
                <w:b/>
                <w:bCs/>
                <w:lang w:val="en-GB"/>
              </w:rPr>
              <w:t>Purpose of processing</w:t>
            </w:r>
            <w:r>
              <w:rPr>
                <w:b/>
                <w:bCs/>
                <w:lang w:val="en-GB"/>
              </w:rPr>
              <w:t>:</w:t>
            </w:r>
            <w:r w:rsidRPr="00053F22">
              <w:rPr>
                <w:lang w:val="en-GB"/>
              </w:rPr>
              <w:t xml:space="preserve"> </w:t>
            </w:r>
            <w:r w:rsidR="009C2781" w:rsidRPr="00053F22">
              <w:rPr>
                <w:lang w:val="en-GB"/>
              </w:rPr>
              <w:t xml:space="preserve">Signing up for staff trainings and events. </w:t>
            </w:r>
          </w:p>
          <w:p w14:paraId="662E5BD8" w14:textId="77777777" w:rsidR="005369DA" w:rsidRDefault="005369DA" w:rsidP="00DE096B">
            <w:pPr>
              <w:rPr>
                <w:lang w:val="en-GB"/>
              </w:rPr>
            </w:pPr>
          </w:p>
          <w:p w14:paraId="355FAE3C" w14:textId="77777777" w:rsidR="005369DA" w:rsidRPr="00053F22" w:rsidRDefault="005369DA" w:rsidP="005369DA">
            <w:pPr>
              <w:rPr>
                <w:lang w:val="en-GB"/>
              </w:rPr>
            </w:pPr>
            <w:r w:rsidRPr="009C2781">
              <w:rPr>
                <w:b/>
                <w:bCs/>
                <w:lang w:val="en-GB"/>
              </w:rPr>
              <w:t>Type of personal data and data subject categories</w:t>
            </w:r>
          </w:p>
          <w:p w14:paraId="634DB7EB" w14:textId="458A7018" w:rsidR="009C2781" w:rsidRPr="00053F22" w:rsidRDefault="007B7F2D" w:rsidP="00DE096B">
            <w:pPr>
              <w:rPr>
                <w:lang w:val="en-GB"/>
              </w:rPr>
            </w:pPr>
            <w:r>
              <w:rPr>
                <w:lang w:val="en-GB"/>
              </w:rPr>
              <w:t>Contact information</w:t>
            </w:r>
            <w:r w:rsidR="009C2781" w:rsidRPr="00053F22">
              <w:rPr>
                <w:lang w:val="en-GB"/>
              </w:rPr>
              <w:t>. </w:t>
            </w:r>
          </w:p>
        </w:tc>
        <w:tc>
          <w:tcPr>
            <w:tcW w:w="1532" w:type="pct"/>
          </w:tcPr>
          <w:p w14:paraId="3795A889" w14:textId="77B57748" w:rsidR="009C2781" w:rsidRPr="00053F22" w:rsidRDefault="009C2781" w:rsidP="00DE096B">
            <w:pPr>
              <w:rPr>
                <w:lang w:val="en-GB"/>
              </w:rPr>
            </w:pPr>
            <w:r w:rsidRPr="00053F22">
              <w:rPr>
                <w:lang w:val="en-GB"/>
              </w:rPr>
              <w:t>Not transferred.</w:t>
            </w:r>
          </w:p>
          <w:p w14:paraId="036F5468" w14:textId="77777777" w:rsidR="009C2781" w:rsidRPr="00053F22" w:rsidRDefault="009C2781" w:rsidP="00DE096B">
            <w:pPr>
              <w:rPr>
                <w:lang w:val="en-GB"/>
              </w:rPr>
            </w:pPr>
          </w:p>
        </w:tc>
      </w:tr>
      <w:tr w:rsidR="009C2781" w:rsidRPr="00053F22" w14:paraId="3A5A461C" w14:textId="32B06CDA" w:rsidTr="00A63EA2">
        <w:trPr>
          <w:cantSplit/>
          <w:trHeight w:val="269"/>
        </w:trPr>
        <w:tc>
          <w:tcPr>
            <w:tcW w:w="788" w:type="pct"/>
          </w:tcPr>
          <w:p w14:paraId="38D3954D" w14:textId="6AB02B29" w:rsidR="009C2781" w:rsidRPr="005369DA" w:rsidRDefault="009C2781" w:rsidP="00DE096B">
            <w:pPr>
              <w:pStyle w:val="ListParagraph"/>
              <w:numPr>
                <w:ilvl w:val="0"/>
                <w:numId w:val="18"/>
              </w:numPr>
              <w:rPr>
                <w:lang w:val="fr-FR"/>
              </w:rPr>
            </w:pPr>
            <w:proofErr w:type="spellStart"/>
            <w:r w:rsidRPr="005369DA">
              <w:rPr>
                <w:lang w:val="fr-FR"/>
              </w:rPr>
              <w:t>Koodi</w:t>
            </w:r>
            <w:proofErr w:type="spellEnd"/>
            <w:r w:rsidRPr="005369DA">
              <w:rPr>
                <w:lang w:val="fr-FR"/>
              </w:rPr>
              <w:t>/</w:t>
            </w:r>
            <w:proofErr w:type="spellStart"/>
            <w:r w:rsidRPr="005369DA">
              <w:rPr>
                <w:lang w:val="fr-FR"/>
              </w:rPr>
              <w:t>Postiviidakko</w:t>
            </w:r>
            <w:proofErr w:type="spellEnd"/>
            <w:r w:rsidRPr="005369DA">
              <w:rPr>
                <w:lang w:val="fr-FR"/>
              </w:rPr>
              <w:t xml:space="preserve">, </w:t>
            </w:r>
            <w:proofErr w:type="spellStart"/>
            <w:r w:rsidRPr="005369DA">
              <w:rPr>
                <w:lang w:val="fr-FR"/>
              </w:rPr>
              <w:t>Liana</w:t>
            </w:r>
            <w:proofErr w:type="spellEnd"/>
            <w:r w:rsidRPr="005369DA">
              <w:rPr>
                <w:lang w:val="fr-FR"/>
              </w:rPr>
              <w:t xml:space="preserve"> Technologies </w:t>
            </w:r>
            <w:r w:rsidR="005369DA" w:rsidRPr="005369DA">
              <w:rPr>
                <w:lang w:val="fr-FR"/>
              </w:rPr>
              <w:t>Lt</w:t>
            </w:r>
            <w:r w:rsidR="005369DA">
              <w:rPr>
                <w:lang w:val="fr-FR"/>
              </w:rPr>
              <w:t>d</w:t>
            </w:r>
          </w:p>
        </w:tc>
        <w:tc>
          <w:tcPr>
            <w:tcW w:w="900" w:type="pct"/>
          </w:tcPr>
          <w:p w14:paraId="0D4421F7" w14:textId="393C3B0B" w:rsidR="009C2781" w:rsidRPr="00053F22" w:rsidRDefault="009C2781" w:rsidP="00DE096B">
            <w:pPr>
              <w:rPr>
                <w:lang w:val="en-GB"/>
              </w:rPr>
            </w:pPr>
            <w:r w:rsidRPr="00053F22">
              <w:rPr>
                <w:lang w:val="en-GB"/>
              </w:rPr>
              <w:t>Marketing</w:t>
            </w:r>
          </w:p>
        </w:tc>
        <w:tc>
          <w:tcPr>
            <w:tcW w:w="1780" w:type="pct"/>
          </w:tcPr>
          <w:p w14:paraId="28138244" w14:textId="3F3BEC03" w:rsidR="009C2781" w:rsidRDefault="005369DA" w:rsidP="00DE096B">
            <w:pPr>
              <w:rPr>
                <w:lang w:val="en-GB"/>
              </w:rPr>
            </w:pPr>
            <w:r w:rsidRPr="00490839">
              <w:rPr>
                <w:b/>
                <w:bCs/>
                <w:lang w:val="en-GB"/>
              </w:rPr>
              <w:t>Purpose of processing</w:t>
            </w:r>
            <w:r>
              <w:rPr>
                <w:b/>
                <w:bCs/>
                <w:lang w:val="en-GB"/>
              </w:rPr>
              <w:t>:</w:t>
            </w:r>
            <w:r w:rsidRPr="00053F22">
              <w:rPr>
                <w:lang w:val="en-GB"/>
              </w:rPr>
              <w:t xml:space="preserve"> </w:t>
            </w:r>
            <w:r w:rsidR="009C2781" w:rsidRPr="00053F22">
              <w:rPr>
                <w:lang w:val="en-GB"/>
              </w:rPr>
              <w:t xml:space="preserve">Producing advertisements for the client’s register. </w:t>
            </w:r>
          </w:p>
          <w:p w14:paraId="08396C8F" w14:textId="3E18BC68" w:rsidR="005369DA" w:rsidRDefault="005369DA" w:rsidP="00DE096B">
            <w:pPr>
              <w:rPr>
                <w:b/>
                <w:bCs/>
                <w:lang w:val="en-GB"/>
              </w:rPr>
            </w:pPr>
            <w:r w:rsidRPr="009C2781">
              <w:rPr>
                <w:b/>
                <w:bCs/>
                <w:lang w:val="en-GB"/>
              </w:rPr>
              <w:t>Type of personal data and data subject categories</w:t>
            </w:r>
            <w:r>
              <w:rPr>
                <w:b/>
                <w:bCs/>
                <w:lang w:val="en-GB"/>
              </w:rPr>
              <w:t xml:space="preserve"> </w:t>
            </w:r>
          </w:p>
          <w:p w14:paraId="7416A0D9" w14:textId="71C74777" w:rsidR="005369DA" w:rsidRPr="00053F22" w:rsidRDefault="005369DA" w:rsidP="00DE096B">
            <w:pPr>
              <w:rPr>
                <w:lang w:val="en-GB"/>
              </w:rPr>
            </w:pPr>
            <w:r>
              <w:rPr>
                <w:lang w:val="en-GB"/>
              </w:rPr>
              <w:t>- Customers, affiliates</w:t>
            </w:r>
          </w:p>
          <w:p w14:paraId="0F7935A2" w14:textId="5413FE65" w:rsidR="009C2781" w:rsidRPr="00053F22" w:rsidRDefault="009C2781" w:rsidP="00DE096B">
            <w:pPr>
              <w:rPr>
                <w:lang w:val="en-GB"/>
              </w:rPr>
            </w:pPr>
            <w:r w:rsidRPr="00053F22">
              <w:rPr>
                <w:lang w:val="en-GB"/>
              </w:rPr>
              <w:t xml:space="preserve">- Name </w:t>
            </w:r>
          </w:p>
          <w:p w14:paraId="380B53E8" w14:textId="21B57D32" w:rsidR="009C2781" w:rsidRPr="00053F22" w:rsidRDefault="009C2781" w:rsidP="00DE096B">
            <w:pPr>
              <w:rPr>
                <w:lang w:val="en-GB"/>
              </w:rPr>
            </w:pPr>
            <w:r w:rsidRPr="00053F22">
              <w:rPr>
                <w:lang w:val="en-GB"/>
              </w:rPr>
              <w:t xml:space="preserve">- Email address </w:t>
            </w:r>
          </w:p>
          <w:p w14:paraId="259EACC5" w14:textId="4A6B4FB8" w:rsidR="009C2781" w:rsidRPr="00053F22" w:rsidRDefault="009C2781" w:rsidP="00DE096B">
            <w:pPr>
              <w:rPr>
                <w:lang w:val="en-GB"/>
              </w:rPr>
            </w:pPr>
            <w:r w:rsidRPr="00053F22">
              <w:rPr>
                <w:lang w:val="en-GB"/>
              </w:rPr>
              <w:t xml:space="preserve">- Mobile phone number </w:t>
            </w:r>
          </w:p>
          <w:p w14:paraId="5356D1F7" w14:textId="3B4E35BA" w:rsidR="009C2781" w:rsidRPr="00053F22" w:rsidRDefault="009C2781" w:rsidP="00DE096B">
            <w:pPr>
              <w:rPr>
                <w:lang w:val="en-GB"/>
              </w:rPr>
            </w:pPr>
            <w:r w:rsidRPr="00053F22">
              <w:rPr>
                <w:lang w:val="en-GB"/>
              </w:rPr>
              <w:t xml:space="preserve">- Company and position </w:t>
            </w:r>
          </w:p>
          <w:p w14:paraId="44C1C6C0" w14:textId="49785EC0" w:rsidR="009C2781" w:rsidRPr="00053F22" w:rsidRDefault="009C2781" w:rsidP="00DE096B">
            <w:pPr>
              <w:rPr>
                <w:lang w:val="en-GB"/>
              </w:rPr>
            </w:pPr>
            <w:r w:rsidRPr="00053F22">
              <w:rPr>
                <w:lang w:val="en-GB"/>
              </w:rPr>
              <w:t>- Company’s address information</w:t>
            </w:r>
          </w:p>
        </w:tc>
        <w:tc>
          <w:tcPr>
            <w:tcW w:w="1532" w:type="pct"/>
          </w:tcPr>
          <w:p w14:paraId="58F27B4E" w14:textId="388F3D80" w:rsidR="009C2781" w:rsidRPr="00053F22" w:rsidRDefault="009C2781" w:rsidP="00DE096B">
            <w:pPr>
              <w:rPr>
                <w:lang w:val="en-GB"/>
              </w:rPr>
            </w:pPr>
            <w:r w:rsidRPr="00053F22">
              <w:rPr>
                <w:lang w:val="en-GB"/>
              </w:rPr>
              <w:t>Not transferred.</w:t>
            </w:r>
          </w:p>
          <w:p w14:paraId="69714B15" w14:textId="77777777" w:rsidR="009C2781" w:rsidRPr="00053F22" w:rsidRDefault="009C2781" w:rsidP="00DE096B">
            <w:pPr>
              <w:rPr>
                <w:lang w:val="en-GB"/>
              </w:rPr>
            </w:pPr>
          </w:p>
        </w:tc>
      </w:tr>
      <w:tr w:rsidR="009C2781" w:rsidRPr="00502BC9" w14:paraId="756F16C0" w14:textId="599C8A36" w:rsidTr="00A63EA2">
        <w:trPr>
          <w:cantSplit/>
          <w:trHeight w:val="269"/>
        </w:trPr>
        <w:tc>
          <w:tcPr>
            <w:tcW w:w="788" w:type="pct"/>
          </w:tcPr>
          <w:p w14:paraId="7404076C" w14:textId="6A242B5F" w:rsidR="009C2781" w:rsidRPr="00053F22" w:rsidRDefault="009C2781" w:rsidP="00DE096B">
            <w:pPr>
              <w:pStyle w:val="ListParagraph"/>
              <w:numPr>
                <w:ilvl w:val="0"/>
                <w:numId w:val="18"/>
              </w:numPr>
              <w:rPr>
                <w:lang w:val="en-GB"/>
              </w:rPr>
            </w:pPr>
            <w:r w:rsidRPr="00053F22">
              <w:rPr>
                <w:lang w:val="en-GB"/>
              </w:rPr>
              <w:lastRenderedPageBreak/>
              <w:t xml:space="preserve">LimeSurvey </w:t>
            </w:r>
          </w:p>
        </w:tc>
        <w:tc>
          <w:tcPr>
            <w:tcW w:w="900" w:type="pct"/>
          </w:tcPr>
          <w:p w14:paraId="36BB3DCD" w14:textId="5A8CC5E1" w:rsidR="009C2781" w:rsidRPr="00053F22" w:rsidRDefault="009C2781" w:rsidP="00DE096B">
            <w:pPr>
              <w:rPr>
                <w:lang w:val="en-GB"/>
              </w:rPr>
            </w:pPr>
            <w:r w:rsidRPr="00053F22">
              <w:rPr>
                <w:lang w:val="en-GB"/>
              </w:rPr>
              <w:t>A survey software</w:t>
            </w:r>
          </w:p>
        </w:tc>
        <w:tc>
          <w:tcPr>
            <w:tcW w:w="1780" w:type="pct"/>
          </w:tcPr>
          <w:p w14:paraId="599DA06F" w14:textId="58525A9A" w:rsidR="009C2781" w:rsidRPr="00053F22" w:rsidRDefault="009C2781" w:rsidP="00DE096B">
            <w:pPr>
              <w:rPr>
                <w:lang w:val="en-GB"/>
              </w:rPr>
            </w:pPr>
            <w:r w:rsidRPr="005369DA">
              <w:rPr>
                <w:b/>
                <w:bCs/>
                <w:u w:val="single"/>
                <w:lang w:val="en-GB"/>
              </w:rPr>
              <w:t>Not used</w:t>
            </w:r>
            <w:r w:rsidR="005369DA">
              <w:rPr>
                <w:b/>
                <w:bCs/>
                <w:u w:val="single"/>
                <w:lang w:val="en-GB"/>
              </w:rPr>
              <w:t xml:space="preserve"> (university has no data processing agreement with LimeSurvey GmbH</w:t>
            </w:r>
            <w:r w:rsidRPr="005369DA">
              <w:rPr>
                <w:b/>
                <w:bCs/>
                <w:u w:val="single"/>
                <w:lang w:val="en-GB"/>
              </w:rPr>
              <w:t>,</w:t>
            </w:r>
            <w:r w:rsidRPr="00053F22">
              <w:rPr>
                <w:lang w:val="en-GB"/>
              </w:rPr>
              <w:t xml:space="preserve"> use Webropol (Webropol Oy) or the REDCap survey software for making surveys (no processor in JYU’s own Data </w:t>
            </w:r>
            <w:proofErr w:type="spellStart"/>
            <w:r w:rsidRPr="00053F22">
              <w:rPr>
                <w:lang w:val="en-GB"/>
              </w:rPr>
              <w:t>Center</w:t>
            </w:r>
            <w:proofErr w:type="spellEnd"/>
            <w:r w:rsidRPr="00053F22">
              <w:rPr>
                <w:lang w:val="en-GB"/>
              </w:rPr>
              <w:t>).</w:t>
            </w:r>
          </w:p>
        </w:tc>
        <w:tc>
          <w:tcPr>
            <w:tcW w:w="1532" w:type="pct"/>
          </w:tcPr>
          <w:p w14:paraId="0F20B93D" w14:textId="159F8BFA" w:rsidR="009C2781" w:rsidRPr="00053F22" w:rsidRDefault="009C2781" w:rsidP="00DE096B">
            <w:pPr>
              <w:rPr>
                <w:lang w:val="en-GB"/>
              </w:rPr>
            </w:pPr>
          </w:p>
        </w:tc>
      </w:tr>
      <w:tr w:rsidR="009C2781" w:rsidRPr="00502BC9" w14:paraId="1119041A" w14:textId="77777777" w:rsidTr="00A63EA2">
        <w:trPr>
          <w:trHeight w:val="269"/>
        </w:trPr>
        <w:tc>
          <w:tcPr>
            <w:tcW w:w="788" w:type="pct"/>
          </w:tcPr>
          <w:p w14:paraId="6F385A31" w14:textId="49A55F05" w:rsidR="009C2781" w:rsidRPr="001F3519" w:rsidRDefault="009C2781" w:rsidP="00DE096B">
            <w:pPr>
              <w:pStyle w:val="ListParagraph"/>
              <w:numPr>
                <w:ilvl w:val="0"/>
                <w:numId w:val="18"/>
              </w:numPr>
              <w:rPr>
                <w:lang w:val="en-GB"/>
              </w:rPr>
            </w:pPr>
            <w:proofErr w:type="spellStart"/>
            <w:r>
              <w:rPr>
                <w:lang w:val="en-GB"/>
              </w:rPr>
              <w:t>Mediaflow</w:t>
            </w:r>
            <w:proofErr w:type="spellEnd"/>
            <w:r>
              <w:rPr>
                <w:lang w:val="en-GB"/>
              </w:rPr>
              <w:t xml:space="preserve"> AB, </w:t>
            </w:r>
            <w:proofErr w:type="spellStart"/>
            <w:r w:rsidRPr="00AE70C2">
              <w:rPr>
                <w:lang w:val="en-GB"/>
              </w:rPr>
              <w:t>Fyrisborgsgatan</w:t>
            </w:r>
            <w:proofErr w:type="spellEnd"/>
            <w:r w:rsidRPr="00AE70C2">
              <w:rPr>
                <w:lang w:val="en-GB"/>
              </w:rPr>
              <w:t xml:space="preserve"> 3, 754 50 Uppsala, Sweden</w:t>
            </w:r>
          </w:p>
        </w:tc>
        <w:tc>
          <w:tcPr>
            <w:tcW w:w="900" w:type="pct"/>
          </w:tcPr>
          <w:p w14:paraId="5FE90B80" w14:textId="27D9B448" w:rsidR="009C2781" w:rsidRPr="00053F22" w:rsidRDefault="009C2781" w:rsidP="00DE096B">
            <w:pPr>
              <w:rPr>
                <w:lang w:val="en-GB"/>
              </w:rPr>
            </w:pPr>
            <w:proofErr w:type="spellStart"/>
            <w:r>
              <w:rPr>
                <w:lang w:val="en-GB"/>
              </w:rPr>
              <w:t>Mediabank</w:t>
            </w:r>
            <w:proofErr w:type="spellEnd"/>
          </w:p>
        </w:tc>
        <w:tc>
          <w:tcPr>
            <w:tcW w:w="1780" w:type="pct"/>
          </w:tcPr>
          <w:p w14:paraId="23ECDAFD" w14:textId="19553E9D" w:rsidR="009C2781" w:rsidRPr="001F3519" w:rsidRDefault="005369DA" w:rsidP="001F3519">
            <w:pPr>
              <w:rPr>
                <w:lang w:val="en-GB"/>
              </w:rPr>
            </w:pPr>
            <w:r w:rsidRPr="00490839">
              <w:rPr>
                <w:b/>
                <w:bCs/>
                <w:lang w:val="en-GB"/>
              </w:rPr>
              <w:t>Purpose of processing</w:t>
            </w:r>
            <w:r>
              <w:rPr>
                <w:b/>
                <w:bCs/>
                <w:lang w:val="en-GB"/>
              </w:rPr>
              <w:t>:</w:t>
            </w:r>
            <w:r w:rsidRPr="00053F22">
              <w:rPr>
                <w:lang w:val="en-GB"/>
              </w:rPr>
              <w:t xml:space="preserve"> </w:t>
            </w:r>
            <w:proofErr w:type="spellStart"/>
            <w:r w:rsidR="009C2781" w:rsidRPr="001F3519">
              <w:rPr>
                <w:lang w:val="en-GB"/>
              </w:rPr>
              <w:t>Mediaflow</w:t>
            </w:r>
            <w:proofErr w:type="spellEnd"/>
            <w:r w:rsidR="009C2781" w:rsidRPr="001F3519">
              <w:rPr>
                <w:lang w:val="en-GB"/>
              </w:rPr>
              <w:t xml:space="preserve"> provides a digital system for managing, maintaining and storing digital assets. It is </w:t>
            </w:r>
            <w:r w:rsidR="009C2781">
              <w:rPr>
                <w:lang w:val="en-GB"/>
              </w:rPr>
              <w:t>for</w:t>
            </w:r>
            <w:r w:rsidR="009C2781" w:rsidRPr="001F3519">
              <w:rPr>
                <w:lang w:val="en-GB"/>
              </w:rPr>
              <w:t xml:space="preserve"> photos, videos and other documents.</w:t>
            </w:r>
          </w:p>
          <w:p w14:paraId="072EA764" w14:textId="6AFB1C30" w:rsidR="009C2781" w:rsidRDefault="009C2781" w:rsidP="001F3519">
            <w:pPr>
              <w:rPr>
                <w:lang w:val="en-GB"/>
              </w:rPr>
            </w:pPr>
            <w:r w:rsidRPr="001F3519">
              <w:rPr>
                <w:lang w:val="en-GB"/>
              </w:rPr>
              <w:t xml:space="preserve"> </w:t>
            </w:r>
          </w:p>
          <w:p w14:paraId="0A6B1787" w14:textId="7D127A13" w:rsidR="009C2781" w:rsidRPr="00053F22" w:rsidRDefault="009C2781" w:rsidP="001F3519">
            <w:pPr>
              <w:rPr>
                <w:lang w:val="en-GB"/>
              </w:rPr>
            </w:pPr>
            <w:r>
              <w:rPr>
                <w:lang w:val="en-GB"/>
              </w:rPr>
              <w:t>Data will be destroyed in 5-year periods (some pictures are stored permanently).</w:t>
            </w:r>
          </w:p>
        </w:tc>
        <w:tc>
          <w:tcPr>
            <w:tcW w:w="1532" w:type="pct"/>
          </w:tcPr>
          <w:p w14:paraId="49724A58" w14:textId="20D9A320" w:rsidR="009C2781" w:rsidRPr="00053F22" w:rsidRDefault="009C2781" w:rsidP="00DE096B">
            <w:pPr>
              <w:rPr>
                <w:rFonts w:cstheme="minorHAnsi"/>
                <w:color w:val="0A0A0A"/>
                <w:shd w:val="clear" w:color="auto" w:fill="FFFFFF"/>
                <w:lang w:val="en-GB"/>
              </w:rPr>
            </w:pPr>
            <w:r>
              <w:rPr>
                <w:rFonts w:cstheme="minorHAnsi"/>
                <w:color w:val="0A0A0A"/>
                <w:shd w:val="clear" w:color="auto" w:fill="FFFFFF"/>
                <w:lang w:val="en-GB"/>
              </w:rPr>
              <w:t>Yes</w:t>
            </w:r>
            <w:r w:rsidRPr="001F3519">
              <w:rPr>
                <w:rFonts w:cstheme="minorHAnsi"/>
                <w:color w:val="0A0A0A"/>
                <w:shd w:val="clear" w:color="auto" w:fill="FFFFFF"/>
                <w:lang w:val="en-GB"/>
              </w:rPr>
              <w:t xml:space="preserve">, </w:t>
            </w:r>
            <w:r>
              <w:rPr>
                <w:rFonts w:cstheme="minorHAnsi"/>
                <w:color w:val="0A0A0A"/>
                <w:shd w:val="clear" w:color="auto" w:fill="FFFFFF"/>
                <w:lang w:val="en-GB"/>
              </w:rPr>
              <w:t xml:space="preserve">to </w:t>
            </w:r>
            <w:r w:rsidRPr="001F3519">
              <w:rPr>
                <w:rFonts w:cstheme="minorHAnsi"/>
                <w:color w:val="0A0A0A"/>
                <w:shd w:val="clear" w:color="auto" w:fill="FFFFFF"/>
                <w:lang w:val="en-GB"/>
              </w:rPr>
              <w:t>UK</w:t>
            </w:r>
            <w:r>
              <w:rPr>
                <w:rFonts w:cstheme="minorHAnsi"/>
                <w:color w:val="0A0A0A"/>
                <w:shd w:val="clear" w:color="auto" w:fill="FFFFFF"/>
                <w:lang w:val="en-GB"/>
              </w:rPr>
              <w:t xml:space="preserve"> for</w:t>
            </w:r>
            <w:r w:rsidRPr="001F3519">
              <w:rPr>
                <w:rFonts w:cstheme="minorHAnsi"/>
                <w:color w:val="0A0A0A"/>
                <w:shd w:val="clear" w:color="auto" w:fill="FFFFFF"/>
                <w:lang w:val="en-GB"/>
              </w:rPr>
              <w:t xml:space="preserve"> </w:t>
            </w:r>
            <w:proofErr w:type="spellStart"/>
            <w:r w:rsidRPr="001F3519">
              <w:rPr>
                <w:rFonts w:cstheme="minorHAnsi"/>
                <w:color w:val="0A0A0A"/>
                <w:shd w:val="clear" w:color="auto" w:fill="FFFFFF"/>
                <w:lang w:val="en-GB"/>
              </w:rPr>
              <w:t>AmberScript</w:t>
            </w:r>
            <w:proofErr w:type="spellEnd"/>
            <w:r w:rsidRPr="001F3519">
              <w:rPr>
                <w:rFonts w:cstheme="minorHAnsi"/>
                <w:color w:val="0A0A0A"/>
                <w:shd w:val="clear" w:color="auto" w:fill="FFFFFF"/>
                <w:lang w:val="en-GB"/>
              </w:rPr>
              <w:t xml:space="preserve">, </w:t>
            </w:r>
            <w:r>
              <w:rPr>
                <w:rFonts w:cstheme="minorHAnsi"/>
                <w:color w:val="0A0A0A"/>
                <w:shd w:val="clear" w:color="auto" w:fill="FFFFFF"/>
                <w:lang w:val="en-GB"/>
              </w:rPr>
              <w:t xml:space="preserve">transferred data is </w:t>
            </w:r>
            <w:r w:rsidRPr="001F3519">
              <w:rPr>
                <w:rFonts w:cstheme="minorHAnsi"/>
                <w:color w:val="0A0A0A"/>
                <w:shd w:val="clear" w:color="auto" w:fill="FFFFFF"/>
                <w:lang w:val="en-GB"/>
              </w:rPr>
              <w:t xml:space="preserve">audio files when using the </w:t>
            </w:r>
            <w:r>
              <w:rPr>
                <w:rFonts w:cstheme="minorHAnsi"/>
                <w:color w:val="0A0A0A"/>
                <w:shd w:val="clear" w:color="auto" w:fill="FFFFFF"/>
                <w:lang w:val="en-GB"/>
              </w:rPr>
              <w:t>transcribe</w:t>
            </w:r>
            <w:r w:rsidRPr="001F3519">
              <w:rPr>
                <w:rFonts w:cstheme="minorHAnsi"/>
                <w:color w:val="0A0A0A"/>
                <w:shd w:val="clear" w:color="auto" w:fill="FFFFFF"/>
                <w:lang w:val="en-GB"/>
              </w:rPr>
              <w:t xml:space="preserve"> service. The audio data is sent in encrypted form to </w:t>
            </w:r>
            <w:proofErr w:type="spellStart"/>
            <w:r w:rsidRPr="001F3519">
              <w:rPr>
                <w:rFonts w:cstheme="minorHAnsi"/>
                <w:color w:val="0A0A0A"/>
                <w:shd w:val="clear" w:color="auto" w:fill="FFFFFF"/>
                <w:lang w:val="en-GB"/>
              </w:rPr>
              <w:t>Amber</w:t>
            </w:r>
            <w:r>
              <w:rPr>
                <w:rFonts w:cstheme="minorHAnsi"/>
                <w:color w:val="0A0A0A"/>
                <w:shd w:val="clear" w:color="auto" w:fill="FFFFFF"/>
                <w:lang w:val="en-GB"/>
              </w:rPr>
              <w:t>S</w:t>
            </w:r>
            <w:r w:rsidRPr="001F3519">
              <w:rPr>
                <w:rFonts w:cstheme="minorHAnsi"/>
                <w:color w:val="0A0A0A"/>
                <w:shd w:val="clear" w:color="auto" w:fill="FFFFFF"/>
                <w:lang w:val="en-GB"/>
              </w:rPr>
              <w:t>cript</w:t>
            </w:r>
            <w:proofErr w:type="spellEnd"/>
            <w:r w:rsidRPr="001F3519">
              <w:rPr>
                <w:rFonts w:cstheme="minorHAnsi"/>
                <w:color w:val="0A0A0A"/>
                <w:shd w:val="clear" w:color="auto" w:fill="FFFFFF"/>
                <w:lang w:val="en-GB"/>
              </w:rPr>
              <w:t xml:space="preserve">, which </w:t>
            </w:r>
            <w:r>
              <w:rPr>
                <w:rFonts w:cstheme="minorHAnsi"/>
                <w:color w:val="0A0A0A"/>
                <w:shd w:val="clear" w:color="auto" w:fill="FFFFFF"/>
                <w:lang w:val="en-GB"/>
              </w:rPr>
              <w:t>transcribes</w:t>
            </w:r>
            <w:r w:rsidRPr="001F3519">
              <w:rPr>
                <w:rFonts w:cstheme="minorHAnsi"/>
                <w:color w:val="0A0A0A"/>
                <w:shd w:val="clear" w:color="auto" w:fill="FFFFFF"/>
                <w:lang w:val="en-GB"/>
              </w:rPr>
              <w:t xml:space="preserve"> it and sends the data back and immediately destroys the data it </w:t>
            </w:r>
            <w:r>
              <w:rPr>
                <w:rFonts w:cstheme="minorHAnsi"/>
                <w:color w:val="0A0A0A"/>
                <w:shd w:val="clear" w:color="auto" w:fill="FFFFFF"/>
                <w:lang w:val="en-GB"/>
              </w:rPr>
              <w:t>had</w:t>
            </w:r>
            <w:r w:rsidRPr="001F3519">
              <w:rPr>
                <w:rFonts w:cstheme="minorHAnsi"/>
                <w:color w:val="0A0A0A"/>
                <w:shd w:val="clear" w:color="auto" w:fill="FFFFFF"/>
                <w:lang w:val="en-GB"/>
              </w:rPr>
              <w:t xml:space="preserve">. The transfer is based on an adequacy decision </w:t>
            </w:r>
            <w:r>
              <w:rPr>
                <w:rFonts w:cstheme="minorHAnsi"/>
                <w:color w:val="0A0A0A"/>
                <w:shd w:val="clear" w:color="auto" w:fill="FFFFFF"/>
                <w:lang w:val="en-GB"/>
              </w:rPr>
              <w:t>from</w:t>
            </w:r>
            <w:r w:rsidRPr="001F3519">
              <w:rPr>
                <w:rFonts w:cstheme="minorHAnsi"/>
                <w:color w:val="0A0A0A"/>
                <w:shd w:val="clear" w:color="auto" w:fill="FFFFFF"/>
                <w:lang w:val="en-GB"/>
              </w:rPr>
              <w:t xml:space="preserve"> the EU Commission.</w:t>
            </w:r>
          </w:p>
        </w:tc>
      </w:tr>
      <w:tr w:rsidR="009C2781" w:rsidRPr="00502BC9" w14:paraId="6C2B2BF9" w14:textId="73E8030A" w:rsidTr="00A63EA2">
        <w:trPr>
          <w:trHeight w:val="269"/>
        </w:trPr>
        <w:tc>
          <w:tcPr>
            <w:tcW w:w="788" w:type="pct"/>
          </w:tcPr>
          <w:p w14:paraId="39160E2B" w14:textId="35288D73" w:rsidR="009C2781" w:rsidRPr="00053F22" w:rsidRDefault="009C2781" w:rsidP="00DE096B">
            <w:pPr>
              <w:pStyle w:val="ListParagraph"/>
              <w:numPr>
                <w:ilvl w:val="0"/>
                <w:numId w:val="18"/>
              </w:numPr>
              <w:rPr>
                <w:lang w:val="en-GB"/>
              </w:rPr>
            </w:pPr>
            <w:r w:rsidRPr="00053F22">
              <w:rPr>
                <w:highlight w:val="green"/>
                <w:lang w:val="en-GB"/>
              </w:rPr>
              <w:t>Microsoft</w:t>
            </w:r>
            <w:r w:rsidRPr="00053F22">
              <w:rPr>
                <w:lang w:val="en-GB"/>
              </w:rPr>
              <w:t xml:space="preserve"> JYU-administered cloud services </w:t>
            </w:r>
          </w:p>
        </w:tc>
        <w:tc>
          <w:tcPr>
            <w:tcW w:w="900" w:type="pct"/>
          </w:tcPr>
          <w:p w14:paraId="4271D252" w14:textId="66108A05" w:rsidR="009C2781" w:rsidRPr="00053F22" w:rsidRDefault="009C2781" w:rsidP="00DE096B">
            <w:pPr>
              <w:rPr>
                <w:lang w:val="en-GB"/>
              </w:rPr>
            </w:pPr>
            <w:r w:rsidRPr="00053F22">
              <w:rPr>
                <w:lang w:val="en-GB"/>
              </w:rPr>
              <w:t xml:space="preserve">O365, OneDrive, Teams, OneNote, </w:t>
            </w:r>
            <w:proofErr w:type="spellStart"/>
            <w:r w:rsidRPr="00053F22">
              <w:rPr>
                <w:lang w:val="en-GB"/>
              </w:rPr>
              <w:t>Sharepoint</w:t>
            </w:r>
            <w:proofErr w:type="spellEnd"/>
            <w:r w:rsidRPr="00053F22">
              <w:rPr>
                <w:lang w:val="en-GB"/>
              </w:rPr>
              <w:t xml:space="preserve">. JYU Teams (video, chat, audio calls) JYU MS Stream, JYU MS </w:t>
            </w:r>
            <w:proofErr w:type="gramStart"/>
            <w:r w:rsidRPr="00053F22">
              <w:rPr>
                <w:lang w:val="en-GB"/>
              </w:rPr>
              <w:t>Forms</w:t>
            </w:r>
            <w:r w:rsidR="00847FE0">
              <w:rPr>
                <w:lang w:val="en-GB"/>
              </w:rPr>
              <w:t>,  MS</w:t>
            </w:r>
            <w:proofErr w:type="gramEnd"/>
            <w:r w:rsidR="00847FE0">
              <w:rPr>
                <w:lang w:val="en-GB"/>
              </w:rPr>
              <w:t xml:space="preserve"> Dynamics</w:t>
            </w:r>
          </w:p>
        </w:tc>
        <w:tc>
          <w:tcPr>
            <w:tcW w:w="1780" w:type="pct"/>
          </w:tcPr>
          <w:p w14:paraId="1E2A5314" w14:textId="51535FDE" w:rsidR="009C2781" w:rsidRPr="00053F22" w:rsidRDefault="009C2781" w:rsidP="00DE096B">
            <w:pPr>
              <w:rPr>
                <w:lang w:val="en-GB"/>
              </w:rPr>
            </w:pPr>
            <w:r w:rsidRPr="00053F22">
              <w:rPr>
                <w:lang w:val="en-GB"/>
              </w:rPr>
              <w:t>Online services for Microsoft’s volume licences</w:t>
            </w:r>
          </w:p>
          <w:p w14:paraId="58C1D65E" w14:textId="77777777" w:rsidR="009C2781" w:rsidRPr="00053F22" w:rsidRDefault="009C2781" w:rsidP="00DE096B">
            <w:pPr>
              <w:rPr>
                <w:lang w:val="en-GB"/>
              </w:rPr>
            </w:pPr>
          </w:p>
        </w:tc>
        <w:tc>
          <w:tcPr>
            <w:tcW w:w="1532" w:type="pct"/>
          </w:tcPr>
          <w:p w14:paraId="1F49C584" w14:textId="704F8FD4" w:rsidR="009C2781" w:rsidRPr="00053F22" w:rsidRDefault="00DC4138" w:rsidP="00DC4138">
            <w:pPr>
              <w:rPr>
                <w:rFonts w:cstheme="minorHAnsi"/>
                <w:highlight w:val="green"/>
                <w:lang w:val="en-GB"/>
              </w:rPr>
            </w:pPr>
            <w:r w:rsidRPr="00DC4138">
              <w:rPr>
                <w:rFonts w:cstheme="minorHAnsi"/>
                <w:lang w:val="en-GB"/>
              </w:rPr>
              <w:t xml:space="preserve">Most personal data is processed only within the EU/EEA, with certain exceptions, see </w:t>
            </w:r>
            <w:hyperlink r:id="rId22" w:anchor="overview-of-the-eu-data-boundary" w:history="1">
              <w:r w:rsidRPr="00DC4138">
                <w:rPr>
                  <w:rStyle w:val="Hyperlink"/>
                  <w:rFonts w:cstheme="minorHAnsi"/>
                  <w:lang w:val="en-US"/>
                </w:rPr>
                <w:t>What is the EU Data Boundary? - Microsoft Privacy | Microsoft Learn</w:t>
              </w:r>
            </w:hyperlink>
          </w:p>
        </w:tc>
      </w:tr>
      <w:tr w:rsidR="009C2781" w:rsidRPr="00502BC9" w14:paraId="77B30EA4" w14:textId="1E700448" w:rsidTr="00A63EA2">
        <w:trPr>
          <w:trHeight w:val="269"/>
        </w:trPr>
        <w:tc>
          <w:tcPr>
            <w:tcW w:w="788" w:type="pct"/>
          </w:tcPr>
          <w:p w14:paraId="4F42D330" w14:textId="77777777" w:rsidR="009C2781" w:rsidRPr="00053F22" w:rsidRDefault="009C2781" w:rsidP="00DE096B">
            <w:pPr>
              <w:pStyle w:val="ListParagraph"/>
              <w:numPr>
                <w:ilvl w:val="0"/>
                <w:numId w:val="18"/>
              </w:numPr>
              <w:rPr>
                <w:lang w:val="en-GB"/>
              </w:rPr>
            </w:pPr>
            <w:r w:rsidRPr="00053F22">
              <w:rPr>
                <w:lang w:val="en-GB"/>
              </w:rPr>
              <w:t xml:space="preserve">MIRO, </w:t>
            </w:r>
            <w:proofErr w:type="spellStart"/>
            <w:r w:rsidRPr="00053F22">
              <w:rPr>
                <w:lang w:val="en-GB"/>
              </w:rPr>
              <w:t>RealtimeBoard</w:t>
            </w:r>
            <w:proofErr w:type="spellEnd"/>
            <w:r w:rsidRPr="00053F22">
              <w:rPr>
                <w:lang w:val="en-GB"/>
              </w:rPr>
              <w:t xml:space="preserve"> Inc., dba Miro 201 Spear Street, Suite 1100 San Francisco, CA 94105</w:t>
            </w:r>
          </w:p>
          <w:p w14:paraId="51ACA949" w14:textId="77777777" w:rsidR="009C2781" w:rsidRPr="00053F22" w:rsidRDefault="009C2781" w:rsidP="00DE096B">
            <w:pPr>
              <w:rPr>
                <w:lang w:val="en-GB"/>
              </w:rPr>
            </w:pPr>
          </w:p>
        </w:tc>
        <w:tc>
          <w:tcPr>
            <w:tcW w:w="900" w:type="pct"/>
          </w:tcPr>
          <w:p w14:paraId="0E371E4E" w14:textId="295B2A47" w:rsidR="009C2781" w:rsidRPr="00053F22" w:rsidRDefault="009C2781" w:rsidP="00DE096B">
            <w:pPr>
              <w:rPr>
                <w:lang w:val="en-GB"/>
              </w:rPr>
            </w:pPr>
            <w:r w:rsidRPr="00053F22">
              <w:rPr>
                <w:lang w:val="en-GB"/>
              </w:rPr>
              <w:t>A digital tool</w:t>
            </w:r>
          </w:p>
        </w:tc>
        <w:tc>
          <w:tcPr>
            <w:tcW w:w="1780" w:type="pct"/>
          </w:tcPr>
          <w:p w14:paraId="67E72EFB" w14:textId="56ADCF3B" w:rsidR="009C2781" w:rsidRDefault="000B42E4" w:rsidP="00DE096B">
            <w:pPr>
              <w:rPr>
                <w:lang w:val="en-GB"/>
              </w:rPr>
            </w:pPr>
            <w:r w:rsidRPr="00490839">
              <w:rPr>
                <w:b/>
                <w:bCs/>
                <w:lang w:val="en-GB"/>
              </w:rPr>
              <w:t>Purpose of processing</w:t>
            </w:r>
            <w:r>
              <w:rPr>
                <w:b/>
                <w:bCs/>
                <w:lang w:val="en-GB"/>
              </w:rPr>
              <w:t>:</w:t>
            </w:r>
            <w:r w:rsidRPr="00053F22">
              <w:rPr>
                <w:lang w:val="en-GB"/>
              </w:rPr>
              <w:t xml:space="preserve"> </w:t>
            </w:r>
            <w:r w:rsidR="009C2781" w:rsidRPr="00053F22">
              <w:rPr>
                <w:lang w:val="en-GB"/>
              </w:rPr>
              <w:t>The online collaborative whiteboard platform to bring teams together.</w:t>
            </w:r>
          </w:p>
          <w:p w14:paraId="27C77499" w14:textId="77777777" w:rsidR="000B42E4" w:rsidRPr="00053F22" w:rsidRDefault="000B42E4" w:rsidP="00DE096B">
            <w:pPr>
              <w:rPr>
                <w:lang w:val="en-GB"/>
              </w:rPr>
            </w:pPr>
          </w:p>
          <w:p w14:paraId="5B015B11" w14:textId="5E0F9263" w:rsidR="000B42E4" w:rsidRDefault="000B42E4" w:rsidP="000B42E4">
            <w:pPr>
              <w:rPr>
                <w:b/>
                <w:bCs/>
                <w:lang w:val="en-GB"/>
              </w:rPr>
            </w:pPr>
            <w:r w:rsidRPr="009C2781">
              <w:rPr>
                <w:b/>
                <w:bCs/>
                <w:lang w:val="en-GB"/>
              </w:rPr>
              <w:t>Type of personal data and data subject categories</w:t>
            </w:r>
            <w:r>
              <w:rPr>
                <w:b/>
                <w:bCs/>
                <w:lang w:val="en-GB"/>
              </w:rPr>
              <w:t xml:space="preserve">: </w:t>
            </w:r>
          </w:p>
          <w:p w14:paraId="2B024EBE" w14:textId="7F9BEF8A" w:rsidR="009C2781" w:rsidRPr="00053F22" w:rsidRDefault="000B42E4" w:rsidP="00DE096B">
            <w:pPr>
              <w:rPr>
                <w:lang w:val="en-GB"/>
              </w:rPr>
            </w:pPr>
            <w:r>
              <w:rPr>
                <w:lang w:val="en-GB"/>
              </w:rPr>
              <w:t>Participants n</w:t>
            </w:r>
            <w:r w:rsidR="009C2781" w:rsidRPr="00053F22">
              <w:rPr>
                <w:lang w:val="en-GB"/>
              </w:rPr>
              <w:t>ame and email.</w:t>
            </w:r>
          </w:p>
        </w:tc>
        <w:tc>
          <w:tcPr>
            <w:tcW w:w="1532" w:type="pct"/>
          </w:tcPr>
          <w:p w14:paraId="129396A8" w14:textId="41B3681A" w:rsidR="009C2781" w:rsidRPr="00053F22" w:rsidRDefault="009C2781" w:rsidP="00DE096B">
            <w:pPr>
              <w:rPr>
                <w:lang w:val="en-GB"/>
              </w:rPr>
            </w:pPr>
            <w:r w:rsidRPr="00053F22">
              <w:rPr>
                <w:lang w:val="en-GB"/>
              </w:rPr>
              <w:t xml:space="preserve">Yes, transferred. Personal data are transferred to the United States on the grounds of </w:t>
            </w:r>
            <w:r w:rsidR="007433B8" w:rsidRPr="007433B8">
              <w:rPr>
                <w:b/>
                <w:bCs/>
                <w:lang w:val="en-US"/>
              </w:rPr>
              <w:t>Standard Contractual Clauses (SCC)</w:t>
            </w:r>
            <w:r w:rsidRPr="00053F22">
              <w:rPr>
                <w:lang w:val="en-GB"/>
              </w:rPr>
              <w:t xml:space="preserve"> (available as an appendix to the agreement from the JYU Registry Office).</w:t>
            </w:r>
          </w:p>
          <w:p w14:paraId="43077762" w14:textId="77777777" w:rsidR="009C2781" w:rsidRPr="00053F22" w:rsidRDefault="009C2781" w:rsidP="00DE096B">
            <w:pPr>
              <w:rPr>
                <w:lang w:val="en-GB"/>
              </w:rPr>
            </w:pPr>
          </w:p>
          <w:p w14:paraId="107BC7F7" w14:textId="77777777" w:rsidR="009C2781" w:rsidRPr="00053F22" w:rsidRDefault="009C2781" w:rsidP="00DE096B">
            <w:pPr>
              <w:rPr>
                <w:lang w:val="en-GB"/>
              </w:rPr>
            </w:pPr>
          </w:p>
        </w:tc>
      </w:tr>
      <w:tr w:rsidR="009C2781" w:rsidRPr="00502BC9" w14:paraId="7F19C8EE" w14:textId="07A09D4F" w:rsidTr="00A63EA2">
        <w:trPr>
          <w:trHeight w:val="269"/>
        </w:trPr>
        <w:tc>
          <w:tcPr>
            <w:tcW w:w="788" w:type="pct"/>
          </w:tcPr>
          <w:p w14:paraId="2B45A776" w14:textId="5262DAF9" w:rsidR="009C2781" w:rsidRPr="00053F22" w:rsidRDefault="009C2781" w:rsidP="00DE096B">
            <w:pPr>
              <w:pStyle w:val="ListParagraph"/>
              <w:numPr>
                <w:ilvl w:val="0"/>
                <w:numId w:val="18"/>
              </w:numPr>
              <w:rPr>
                <w:lang w:val="en-GB"/>
              </w:rPr>
            </w:pPr>
            <w:r w:rsidRPr="00053F22">
              <w:rPr>
                <w:lang w:val="en-GB"/>
              </w:rPr>
              <w:t xml:space="preserve">Mobility Online, SOP </w:t>
            </w:r>
            <w:proofErr w:type="spellStart"/>
            <w:r w:rsidRPr="00053F22">
              <w:rPr>
                <w:lang w:val="en-GB"/>
              </w:rPr>
              <w:t>Hilmbauer</w:t>
            </w:r>
            <w:proofErr w:type="spellEnd"/>
            <w:r w:rsidRPr="00053F22">
              <w:rPr>
                <w:lang w:val="en-GB"/>
              </w:rPr>
              <w:t xml:space="preserve"> &amp; </w:t>
            </w:r>
            <w:proofErr w:type="spellStart"/>
            <w:r w:rsidRPr="00053F22">
              <w:rPr>
                <w:lang w:val="en-GB"/>
              </w:rPr>
              <w:lastRenderedPageBreak/>
              <w:t>Mauberger</w:t>
            </w:r>
            <w:proofErr w:type="spellEnd"/>
            <w:r w:rsidRPr="00053F22">
              <w:rPr>
                <w:lang w:val="en-GB"/>
              </w:rPr>
              <w:t xml:space="preserve"> GmbH &amp; Co. </w:t>
            </w:r>
          </w:p>
        </w:tc>
        <w:tc>
          <w:tcPr>
            <w:tcW w:w="900" w:type="pct"/>
          </w:tcPr>
          <w:p w14:paraId="4D7FC9BC" w14:textId="3F1121CD" w:rsidR="009C2781" w:rsidRPr="00053F22" w:rsidRDefault="009C2781" w:rsidP="00DE096B">
            <w:pPr>
              <w:rPr>
                <w:lang w:val="en-GB"/>
              </w:rPr>
            </w:pPr>
            <w:r w:rsidRPr="00053F22">
              <w:rPr>
                <w:lang w:val="en-GB"/>
              </w:rPr>
              <w:lastRenderedPageBreak/>
              <w:t>Student exchange administration</w:t>
            </w:r>
          </w:p>
        </w:tc>
        <w:tc>
          <w:tcPr>
            <w:tcW w:w="1780" w:type="pct"/>
          </w:tcPr>
          <w:p w14:paraId="5D45D20D" w14:textId="77777777" w:rsidR="009C2781" w:rsidRDefault="000B42E4" w:rsidP="00DE096B">
            <w:pPr>
              <w:rPr>
                <w:lang w:val="en-GB"/>
              </w:rPr>
            </w:pPr>
            <w:r w:rsidRPr="00490839">
              <w:rPr>
                <w:b/>
                <w:bCs/>
                <w:lang w:val="en-GB"/>
              </w:rPr>
              <w:t>Purpose of processing</w:t>
            </w:r>
            <w:r>
              <w:rPr>
                <w:b/>
                <w:bCs/>
                <w:lang w:val="en-GB"/>
              </w:rPr>
              <w:t>:</w:t>
            </w:r>
            <w:r w:rsidRPr="00053F22">
              <w:rPr>
                <w:lang w:val="en-GB"/>
              </w:rPr>
              <w:t xml:space="preserve"> </w:t>
            </w:r>
            <w:r w:rsidR="009C2781" w:rsidRPr="00053F22">
              <w:rPr>
                <w:lang w:val="en-GB"/>
              </w:rPr>
              <w:t>Administration, maintenance and support activities for international education cooperation (student exchanges). Data concerning student and staff mobility.</w:t>
            </w:r>
          </w:p>
          <w:p w14:paraId="1C6EECE5" w14:textId="77777777" w:rsidR="000B42E4" w:rsidRDefault="000B42E4" w:rsidP="00DE096B">
            <w:pPr>
              <w:rPr>
                <w:lang w:val="en-GB"/>
              </w:rPr>
            </w:pPr>
          </w:p>
          <w:p w14:paraId="6682C95B" w14:textId="77777777" w:rsidR="000B42E4" w:rsidRDefault="000B42E4" w:rsidP="000B42E4">
            <w:pPr>
              <w:rPr>
                <w:b/>
                <w:bCs/>
                <w:lang w:val="en-GB"/>
              </w:rPr>
            </w:pPr>
            <w:r w:rsidRPr="009C2781">
              <w:rPr>
                <w:b/>
                <w:bCs/>
                <w:lang w:val="en-GB"/>
              </w:rPr>
              <w:t>Type of personal data and data subject categories</w:t>
            </w:r>
            <w:r>
              <w:rPr>
                <w:b/>
                <w:bCs/>
                <w:lang w:val="en-GB"/>
              </w:rPr>
              <w:t xml:space="preserve">: </w:t>
            </w:r>
          </w:p>
          <w:p w14:paraId="2A361357" w14:textId="6FF5F0CC" w:rsidR="000B42E4" w:rsidRPr="00053F22" w:rsidRDefault="000B42E4" w:rsidP="00DE096B">
            <w:pPr>
              <w:rPr>
                <w:lang w:val="en-GB"/>
              </w:rPr>
            </w:pPr>
            <w:r>
              <w:rPr>
                <w:lang w:val="en-GB"/>
              </w:rPr>
              <w:t>student exchange information</w:t>
            </w:r>
          </w:p>
        </w:tc>
        <w:tc>
          <w:tcPr>
            <w:tcW w:w="1532" w:type="pct"/>
          </w:tcPr>
          <w:p w14:paraId="7790B04B" w14:textId="3319FACE" w:rsidR="009C2781" w:rsidRPr="00053F22" w:rsidRDefault="009C2781" w:rsidP="00DE096B">
            <w:pPr>
              <w:rPr>
                <w:rFonts w:ascii="Arial" w:hAnsi="Arial" w:cs="Arial"/>
                <w:color w:val="4D5156"/>
                <w:sz w:val="21"/>
                <w:szCs w:val="21"/>
                <w:shd w:val="clear" w:color="auto" w:fill="FFFFFF"/>
                <w:lang w:val="en-GB"/>
              </w:rPr>
            </w:pPr>
            <w:r w:rsidRPr="00053F22">
              <w:rPr>
                <w:lang w:val="en-GB"/>
              </w:rPr>
              <w:lastRenderedPageBreak/>
              <w:t xml:space="preserve">SOP </w:t>
            </w:r>
            <w:proofErr w:type="spellStart"/>
            <w:r w:rsidRPr="00053F22">
              <w:rPr>
                <w:lang w:val="en-GB"/>
              </w:rPr>
              <w:t>Hilmbauer</w:t>
            </w:r>
            <w:proofErr w:type="spellEnd"/>
            <w:r w:rsidRPr="00053F22">
              <w:rPr>
                <w:lang w:val="en-GB"/>
              </w:rPr>
              <w:t xml:space="preserve"> &amp; </w:t>
            </w:r>
            <w:proofErr w:type="spellStart"/>
            <w:r w:rsidRPr="00053F22">
              <w:rPr>
                <w:lang w:val="en-GB"/>
              </w:rPr>
              <w:t>Mauberger</w:t>
            </w:r>
            <w:proofErr w:type="spellEnd"/>
            <w:r w:rsidRPr="00053F22">
              <w:rPr>
                <w:lang w:val="en-GB"/>
              </w:rPr>
              <w:t xml:space="preserve"> GmbH &amp; Co, the data processor, does not transfer any personal data.</w:t>
            </w:r>
          </w:p>
          <w:p w14:paraId="04C81639" w14:textId="77777777" w:rsidR="009C2781" w:rsidRPr="00053F22" w:rsidRDefault="009C2781" w:rsidP="00DE096B">
            <w:pPr>
              <w:rPr>
                <w:rFonts w:ascii="Arial" w:hAnsi="Arial" w:cs="Arial"/>
                <w:color w:val="4D5156"/>
                <w:sz w:val="21"/>
                <w:szCs w:val="21"/>
                <w:shd w:val="clear" w:color="auto" w:fill="FFFFFF"/>
                <w:lang w:val="en-GB"/>
              </w:rPr>
            </w:pPr>
          </w:p>
          <w:p w14:paraId="0B094E9E" w14:textId="3DAE2D6E" w:rsidR="009C2781" w:rsidRPr="00053F22" w:rsidRDefault="009C2781" w:rsidP="00DE096B">
            <w:pPr>
              <w:rPr>
                <w:lang w:val="en-GB"/>
              </w:rPr>
            </w:pPr>
            <w:r w:rsidRPr="00053F22">
              <w:rPr>
                <w:lang w:val="en-GB"/>
              </w:rPr>
              <w:lastRenderedPageBreak/>
              <w:t>However, JYU delivers to the host organisation relevant personal data on people leaving for exchange outside the EU/EEA area. The delivery is based on the person’s consent. A person heading outside the EU/EEA area is told that the level of information security does not necessarily match the EU standard.</w:t>
            </w:r>
          </w:p>
        </w:tc>
      </w:tr>
      <w:tr w:rsidR="00093B86" w:rsidRPr="00502BC9" w14:paraId="5DC2F767" w14:textId="77777777" w:rsidTr="00A63EA2">
        <w:trPr>
          <w:cantSplit/>
          <w:trHeight w:val="269"/>
        </w:trPr>
        <w:tc>
          <w:tcPr>
            <w:tcW w:w="788" w:type="pct"/>
          </w:tcPr>
          <w:p w14:paraId="43FC47D3" w14:textId="68B5A018" w:rsidR="00093B86" w:rsidRPr="00053F22" w:rsidRDefault="00093B86" w:rsidP="00DE096B">
            <w:pPr>
              <w:pStyle w:val="ListParagraph"/>
              <w:numPr>
                <w:ilvl w:val="0"/>
                <w:numId w:val="18"/>
              </w:numPr>
              <w:rPr>
                <w:lang w:val="en-GB"/>
              </w:rPr>
            </w:pPr>
            <w:proofErr w:type="spellStart"/>
            <w:r>
              <w:rPr>
                <w:lang w:val="en-GB"/>
              </w:rPr>
              <w:lastRenderedPageBreak/>
              <w:t>OpenAi</w:t>
            </w:r>
            <w:proofErr w:type="spellEnd"/>
            <w:r>
              <w:rPr>
                <w:lang w:val="en-GB"/>
              </w:rPr>
              <w:t xml:space="preserve"> Chat GPT</w:t>
            </w:r>
          </w:p>
        </w:tc>
        <w:tc>
          <w:tcPr>
            <w:tcW w:w="900" w:type="pct"/>
          </w:tcPr>
          <w:p w14:paraId="405C4750" w14:textId="27A2D6C5" w:rsidR="00093B86" w:rsidRPr="00053F22" w:rsidRDefault="00093B86" w:rsidP="00DE096B">
            <w:pPr>
              <w:rPr>
                <w:lang w:val="en-GB"/>
              </w:rPr>
            </w:pPr>
            <w:r w:rsidRPr="00093B86">
              <w:rPr>
                <w:lang w:val="en-GB"/>
              </w:rPr>
              <w:t xml:space="preserve">AI tool </w:t>
            </w:r>
          </w:p>
        </w:tc>
        <w:tc>
          <w:tcPr>
            <w:tcW w:w="1780" w:type="pct"/>
          </w:tcPr>
          <w:p w14:paraId="2F28A3DA" w14:textId="4DC26325" w:rsidR="00093B86" w:rsidRPr="00490839" w:rsidRDefault="00093B86" w:rsidP="00DE096B">
            <w:pPr>
              <w:rPr>
                <w:b/>
                <w:bCs/>
                <w:lang w:val="en-GB"/>
              </w:rPr>
            </w:pPr>
            <w:r w:rsidRPr="00093B86">
              <w:rPr>
                <w:lang w:val="en-GB"/>
              </w:rPr>
              <w:t>Used only for very limited and specific use cases such as Acres</w:t>
            </w:r>
            <w:r>
              <w:rPr>
                <w:lang w:val="en-GB"/>
              </w:rPr>
              <w:t>.</w:t>
            </w:r>
          </w:p>
        </w:tc>
        <w:tc>
          <w:tcPr>
            <w:tcW w:w="1532" w:type="pct"/>
          </w:tcPr>
          <w:p w14:paraId="4522A93A" w14:textId="29D5075C" w:rsidR="00093B86" w:rsidRPr="00053F22" w:rsidRDefault="00A10296" w:rsidP="00DE096B">
            <w:pPr>
              <w:rPr>
                <w:lang w:val="en-GB"/>
              </w:rPr>
            </w:pPr>
            <w:r w:rsidRPr="00093B86">
              <w:rPr>
                <w:lang w:val="en-GB"/>
              </w:rPr>
              <w:t>Personal data transferred outside EU/EEA, model contract clauses and pseudonymisation</w:t>
            </w:r>
          </w:p>
        </w:tc>
      </w:tr>
      <w:tr w:rsidR="009C2781" w:rsidRPr="00502BC9" w14:paraId="7DE5A08C" w14:textId="3CE5E7E3" w:rsidTr="00A63EA2">
        <w:trPr>
          <w:cantSplit/>
          <w:trHeight w:val="269"/>
        </w:trPr>
        <w:tc>
          <w:tcPr>
            <w:tcW w:w="788" w:type="pct"/>
          </w:tcPr>
          <w:p w14:paraId="69EAF627" w14:textId="23719AD6" w:rsidR="009C2781" w:rsidRPr="00053F22" w:rsidRDefault="009C2781" w:rsidP="00DE096B">
            <w:pPr>
              <w:pStyle w:val="ListParagraph"/>
              <w:numPr>
                <w:ilvl w:val="0"/>
                <w:numId w:val="18"/>
              </w:numPr>
              <w:rPr>
                <w:lang w:val="en-GB"/>
              </w:rPr>
            </w:pPr>
            <w:proofErr w:type="spellStart"/>
            <w:r w:rsidRPr="00053F22">
              <w:rPr>
                <w:lang w:val="en-GB"/>
              </w:rPr>
              <w:t>OrCID</w:t>
            </w:r>
            <w:proofErr w:type="spellEnd"/>
            <w:r w:rsidRPr="00053F22">
              <w:rPr>
                <w:lang w:val="en-GB"/>
              </w:rPr>
              <w:t xml:space="preserve"> </w:t>
            </w:r>
            <w:r w:rsidR="000B42E4">
              <w:rPr>
                <w:lang w:val="en-GB"/>
              </w:rPr>
              <w:t xml:space="preserve">Inc. </w:t>
            </w:r>
            <w:r w:rsidRPr="00053F22">
              <w:rPr>
                <w:lang w:val="en-GB"/>
              </w:rPr>
              <w:t>(</w:t>
            </w:r>
            <w:hyperlink r:id="rId23" w:history="1">
              <w:r w:rsidRPr="00053F22">
                <w:rPr>
                  <w:rStyle w:val="Hyperlink"/>
                  <w:lang w:val="en-GB"/>
                </w:rPr>
                <w:t>https://orcid.org/</w:t>
              </w:r>
            </w:hyperlink>
            <w:r w:rsidRPr="00053F22">
              <w:rPr>
                <w:lang w:val="en-GB"/>
              </w:rPr>
              <w:t>)</w:t>
            </w:r>
          </w:p>
        </w:tc>
        <w:tc>
          <w:tcPr>
            <w:tcW w:w="900" w:type="pct"/>
          </w:tcPr>
          <w:p w14:paraId="5E33E1FE" w14:textId="0DE8FC8A" w:rsidR="009C2781" w:rsidRPr="00053F22" w:rsidRDefault="009C2781" w:rsidP="00DE096B">
            <w:pPr>
              <w:rPr>
                <w:lang w:val="en-GB"/>
              </w:rPr>
            </w:pPr>
            <w:r w:rsidRPr="00053F22">
              <w:rPr>
                <w:lang w:val="en-GB"/>
              </w:rPr>
              <w:t>Management of ORCID identifiers</w:t>
            </w:r>
          </w:p>
        </w:tc>
        <w:tc>
          <w:tcPr>
            <w:tcW w:w="1780" w:type="pct"/>
          </w:tcPr>
          <w:p w14:paraId="2F75C707" w14:textId="2060E474" w:rsidR="009C2781" w:rsidRDefault="0029418D" w:rsidP="00DE096B">
            <w:pPr>
              <w:rPr>
                <w:lang w:val="en-GB"/>
              </w:rPr>
            </w:pPr>
            <w:r w:rsidRPr="00490839">
              <w:rPr>
                <w:b/>
                <w:bCs/>
                <w:lang w:val="en-GB"/>
              </w:rPr>
              <w:t>Purpose of processing</w:t>
            </w:r>
            <w:r>
              <w:rPr>
                <w:b/>
                <w:bCs/>
                <w:lang w:val="en-GB"/>
              </w:rPr>
              <w:t>:</w:t>
            </w:r>
            <w:r w:rsidRPr="00053F22">
              <w:rPr>
                <w:lang w:val="en-GB"/>
              </w:rPr>
              <w:t xml:space="preserve"> </w:t>
            </w:r>
            <w:r w:rsidR="009C2781" w:rsidRPr="00053F22">
              <w:rPr>
                <w:lang w:val="en-GB"/>
              </w:rPr>
              <w:t xml:space="preserve">When members use the ORCID Member API to transfer personal data to us, ORCID acts as the Controller of the received personal data, whereas in the case of a member using the Member Portal, ORCID acts as a Processor. </w:t>
            </w:r>
          </w:p>
          <w:p w14:paraId="01570D5F" w14:textId="75CFC174" w:rsidR="0029418D" w:rsidRPr="0029418D" w:rsidRDefault="0029418D" w:rsidP="00DE096B">
            <w:pPr>
              <w:rPr>
                <w:b/>
                <w:bCs/>
                <w:lang w:val="en-GB"/>
              </w:rPr>
            </w:pPr>
            <w:r w:rsidRPr="009C2781">
              <w:rPr>
                <w:b/>
                <w:bCs/>
                <w:lang w:val="en-GB"/>
              </w:rPr>
              <w:t>Type of personal data and data subject categories</w:t>
            </w:r>
            <w:r>
              <w:rPr>
                <w:b/>
                <w:bCs/>
                <w:lang w:val="en-GB"/>
              </w:rPr>
              <w:t xml:space="preserve">: </w:t>
            </w:r>
          </w:p>
          <w:p w14:paraId="54612C5C" w14:textId="4B9075D3" w:rsidR="007B7F2D" w:rsidRPr="007B7F2D" w:rsidRDefault="009C2781" w:rsidP="007B7F2D">
            <w:pPr>
              <w:rPr>
                <w:lang w:val="fr-FR"/>
              </w:rPr>
            </w:pPr>
            <w:r w:rsidRPr="007B7F2D">
              <w:rPr>
                <w:lang w:val="fr-FR"/>
              </w:rPr>
              <w:t xml:space="preserve">● </w:t>
            </w:r>
            <w:r w:rsidR="007B7F2D" w:rsidRPr="007B7F2D">
              <w:rPr>
                <w:lang w:val="fr-FR"/>
              </w:rPr>
              <w:t xml:space="preserve">e.g., contact information, </w:t>
            </w:r>
            <w:proofErr w:type="spellStart"/>
            <w:r w:rsidR="007B7F2D" w:rsidRPr="007B7F2D">
              <w:rPr>
                <w:lang w:val="fr-FR"/>
              </w:rPr>
              <w:t>grants</w:t>
            </w:r>
            <w:proofErr w:type="spellEnd"/>
            <w:r w:rsidR="007B7F2D" w:rsidRPr="007B7F2D">
              <w:rPr>
                <w:lang w:val="fr-FR"/>
              </w:rPr>
              <w:t xml:space="preserve"> et</w:t>
            </w:r>
            <w:r w:rsidR="007B7F2D">
              <w:rPr>
                <w:lang w:val="fr-FR"/>
              </w:rPr>
              <w:t>c.</w:t>
            </w:r>
          </w:p>
          <w:p w14:paraId="75F2323F" w14:textId="3E755B9E" w:rsidR="009C2781" w:rsidRPr="007B7F2D" w:rsidRDefault="009C2781" w:rsidP="00DE096B">
            <w:pPr>
              <w:rPr>
                <w:lang w:val="fr-FR"/>
              </w:rPr>
            </w:pPr>
          </w:p>
        </w:tc>
        <w:tc>
          <w:tcPr>
            <w:tcW w:w="1532" w:type="pct"/>
          </w:tcPr>
          <w:p w14:paraId="677E934B" w14:textId="76EF788D" w:rsidR="009C2781" w:rsidRPr="00053F22" w:rsidRDefault="009C2781" w:rsidP="00DE096B">
            <w:pPr>
              <w:rPr>
                <w:lang w:val="en-GB"/>
              </w:rPr>
            </w:pPr>
            <w:r w:rsidRPr="00053F22">
              <w:rPr>
                <w:lang w:val="en-GB"/>
              </w:rPr>
              <w:t xml:space="preserve">The importer </w:t>
            </w:r>
            <w:proofErr w:type="gramStart"/>
            <w:r w:rsidRPr="00053F22">
              <w:rPr>
                <w:lang w:val="en-GB"/>
              </w:rPr>
              <w:t>is located in</w:t>
            </w:r>
            <w:proofErr w:type="gramEnd"/>
            <w:r w:rsidRPr="00053F22">
              <w:rPr>
                <w:lang w:val="en-GB"/>
              </w:rPr>
              <w:t xml:space="preserve"> the USA. Standard contractual clauses / O</w:t>
            </w:r>
            <w:r>
              <w:rPr>
                <w:lang w:val="en-GB"/>
              </w:rPr>
              <w:t xml:space="preserve">RCID </w:t>
            </w:r>
            <w:r w:rsidRPr="00053F22">
              <w:rPr>
                <w:lang w:val="en-GB"/>
              </w:rPr>
              <w:t xml:space="preserve">and JYU Controller-to-Controller and Controller-to-Processor SCCs </w:t>
            </w:r>
          </w:p>
        </w:tc>
      </w:tr>
      <w:tr w:rsidR="009C2781" w:rsidRPr="003D5CB3" w14:paraId="0B5BF880" w14:textId="518010C7" w:rsidTr="00A63EA2">
        <w:trPr>
          <w:trHeight w:val="269"/>
        </w:trPr>
        <w:tc>
          <w:tcPr>
            <w:tcW w:w="788" w:type="pct"/>
          </w:tcPr>
          <w:p w14:paraId="2EB8CAB2" w14:textId="4E09C4AE" w:rsidR="009C2781" w:rsidRPr="00053F22" w:rsidRDefault="009C2781" w:rsidP="00DE096B">
            <w:pPr>
              <w:pStyle w:val="ListParagraph"/>
              <w:numPr>
                <w:ilvl w:val="0"/>
                <w:numId w:val="18"/>
              </w:numPr>
              <w:rPr>
                <w:lang w:val="en-GB"/>
              </w:rPr>
            </w:pPr>
            <w:proofErr w:type="spellStart"/>
            <w:r>
              <w:rPr>
                <w:lang w:val="en-GB"/>
              </w:rPr>
              <w:t>PiwikPro</w:t>
            </w:r>
            <w:proofErr w:type="spellEnd"/>
            <w:r>
              <w:rPr>
                <w:lang w:val="en-GB"/>
              </w:rPr>
              <w:t xml:space="preserve"> SA, analytics suite</w:t>
            </w:r>
          </w:p>
        </w:tc>
        <w:tc>
          <w:tcPr>
            <w:tcW w:w="900" w:type="pct"/>
          </w:tcPr>
          <w:p w14:paraId="0244D21B" w14:textId="6448C640" w:rsidR="009C2781" w:rsidRPr="00053F22" w:rsidRDefault="009C2781" w:rsidP="00DE096B">
            <w:pPr>
              <w:rPr>
                <w:lang w:val="en-GB"/>
              </w:rPr>
            </w:pPr>
            <w:r>
              <w:rPr>
                <w:lang w:val="en-GB"/>
              </w:rPr>
              <w:t>Website analytics</w:t>
            </w:r>
          </w:p>
        </w:tc>
        <w:tc>
          <w:tcPr>
            <w:tcW w:w="1780" w:type="pct"/>
          </w:tcPr>
          <w:p w14:paraId="38AFEDBC" w14:textId="04AAFEA7" w:rsidR="0029418D" w:rsidRDefault="0029418D" w:rsidP="003D5CB3">
            <w:pPr>
              <w:rPr>
                <w:lang w:val="en-US"/>
              </w:rPr>
            </w:pPr>
            <w:r w:rsidRPr="00490839">
              <w:rPr>
                <w:b/>
                <w:bCs/>
                <w:lang w:val="en-GB"/>
              </w:rPr>
              <w:t>Purpose of processing</w:t>
            </w:r>
            <w:r>
              <w:rPr>
                <w:b/>
                <w:bCs/>
                <w:lang w:val="en-GB"/>
              </w:rPr>
              <w:t>:</w:t>
            </w:r>
            <w:r w:rsidRPr="00053F22">
              <w:rPr>
                <w:lang w:val="en-GB"/>
              </w:rPr>
              <w:t xml:space="preserve"> </w:t>
            </w:r>
            <w:r w:rsidR="009C2781" w:rsidRPr="006B5E48">
              <w:rPr>
                <w:lang w:val="en-US"/>
              </w:rPr>
              <w:t xml:space="preserve">The service is used to analyze the use of websites by the Customer’s visitors, manage other marketing tools, personalize content viewed by the visitor, onboard any other data of the Customer and create audiences. </w:t>
            </w:r>
          </w:p>
          <w:p w14:paraId="42FDC12B" w14:textId="60591D27" w:rsidR="0029418D" w:rsidRPr="0029418D" w:rsidRDefault="0029418D" w:rsidP="003D5CB3">
            <w:pPr>
              <w:rPr>
                <w:b/>
                <w:bCs/>
                <w:lang w:val="en-GB"/>
              </w:rPr>
            </w:pPr>
            <w:r w:rsidRPr="009C2781">
              <w:rPr>
                <w:b/>
                <w:bCs/>
                <w:lang w:val="en-GB"/>
              </w:rPr>
              <w:t>Type of personal data and data subject categories</w:t>
            </w:r>
            <w:r>
              <w:rPr>
                <w:b/>
                <w:bCs/>
                <w:lang w:val="en-GB"/>
              </w:rPr>
              <w:t xml:space="preserve">: </w:t>
            </w:r>
          </w:p>
          <w:p w14:paraId="7DB568D1" w14:textId="5040049C" w:rsidR="009C2781" w:rsidRPr="003D5CB3" w:rsidRDefault="009C2781" w:rsidP="003D5CB3">
            <w:pPr>
              <w:rPr>
                <w:lang w:val="en-US"/>
              </w:rPr>
            </w:pPr>
            <w:proofErr w:type="spellStart"/>
            <w:r w:rsidRPr="006B5E48">
              <w:rPr>
                <w:lang w:val="en-US"/>
              </w:rPr>
              <w:t>Piwik</w:t>
            </w:r>
            <w:proofErr w:type="spellEnd"/>
            <w:r w:rsidRPr="006B5E48">
              <w:rPr>
                <w:lang w:val="en-US"/>
              </w:rPr>
              <w:t xml:space="preserve"> PRO Analytics Suite collects data in the form of technical characteristics of the browser of the Customer’s Services’ visitor, activities on the Customer’s Services, length of stay on the Customer’s Services. </w:t>
            </w:r>
            <w:r w:rsidRPr="003D5CB3">
              <w:rPr>
                <w:lang w:val="en-US"/>
              </w:rPr>
              <w:t xml:space="preserve">The IP address of visitors of the Customer’s Services is also collected.  </w:t>
            </w:r>
          </w:p>
          <w:p w14:paraId="253CF535" w14:textId="77777777" w:rsidR="009C2781" w:rsidRPr="003D5CB3" w:rsidRDefault="009C2781" w:rsidP="00DE096B">
            <w:pPr>
              <w:rPr>
                <w:lang w:val="en-US"/>
              </w:rPr>
            </w:pPr>
          </w:p>
        </w:tc>
        <w:tc>
          <w:tcPr>
            <w:tcW w:w="1532" w:type="pct"/>
          </w:tcPr>
          <w:p w14:paraId="2E97A9DB" w14:textId="4EA8B95D" w:rsidR="009C2781" w:rsidRPr="00053F22" w:rsidRDefault="009C2781" w:rsidP="00DE096B">
            <w:pPr>
              <w:rPr>
                <w:lang w:val="en-GB"/>
              </w:rPr>
            </w:pPr>
            <w:r>
              <w:rPr>
                <w:lang w:val="en-GB"/>
              </w:rPr>
              <w:t>No</w:t>
            </w:r>
          </w:p>
        </w:tc>
      </w:tr>
      <w:tr w:rsidR="009C2781" w:rsidRPr="00053F22" w14:paraId="2DECDCBB" w14:textId="4C67E8A1" w:rsidTr="00A63EA2">
        <w:trPr>
          <w:trHeight w:val="269"/>
        </w:trPr>
        <w:tc>
          <w:tcPr>
            <w:tcW w:w="788" w:type="pct"/>
          </w:tcPr>
          <w:p w14:paraId="42480F09" w14:textId="55EAA269" w:rsidR="009C2781" w:rsidRPr="00053F22" w:rsidRDefault="009C2781" w:rsidP="00DE096B">
            <w:pPr>
              <w:pStyle w:val="ListParagraph"/>
              <w:numPr>
                <w:ilvl w:val="0"/>
                <w:numId w:val="18"/>
              </w:numPr>
              <w:rPr>
                <w:lang w:val="en-GB"/>
              </w:rPr>
            </w:pPr>
            <w:proofErr w:type="spellStart"/>
            <w:r w:rsidRPr="00053F22">
              <w:rPr>
                <w:lang w:val="en-GB"/>
              </w:rPr>
              <w:lastRenderedPageBreak/>
              <w:t>PremiTime</w:t>
            </w:r>
            <w:proofErr w:type="spellEnd"/>
          </w:p>
        </w:tc>
        <w:tc>
          <w:tcPr>
            <w:tcW w:w="900" w:type="pct"/>
          </w:tcPr>
          <w:p w14:paraId="302A3DEE" w14:textId="70224A7E" w:rsidR="009C2781" w:rsidRPr="00053F22" w:rsidRDefault="009C2781" w:rsidP="00DE096B">
            <w:pPr>
              <w:rPr>
                <w:lang w:val="en-GB"/>
              </w:rPr>
            </w:pPr>
            <w:r w:rsidRPr="00053F22">
              <w:rPr>
                <w:lang w:val="en-GB"/>
              </w:rPr>
              <w:t xml:space="preserve">HR, working hours control </w:t>
            </w:r>
          </w:p>
        </w:tc>
        <w:tc>
          <w:tcPr>
            <w:tcW w:w="1780" w:type="pct"/>
          </w:tcPr>
          <w:p w14:paraId="6175A0B6" w14:textId="0D62AB3B" w:rsidR="009C2781" w:rsidRPr="00053F22" w:rsidRDefault="009C2781" w:rsidP="00DE096B">
            <w:pPr>
              <w:rPr>
                <w:lang w:val="en-GB"/>
              </w:rPr>
            </w:pPr>
            <w:r w:rsidRPr="00053F22">
              <w:rPr>
                <w:lang w:val="en-GB"/>
              </w:rPr>
              <w:t>Additional information HR Services.</w:t>
            </w:r>
          </w:p>
        </w:tc>
        <w:tc>
          <w:tcPr>
            <w:tcW w:w="1532" w:type="pct"/>
          </w:tcPr>
          <w:p w14:paraId="78A35B27" w14:textId="418B1D39" w:rsidR="009C2781" w:rsidRPr="00053F22" w:rsidRDefault="009C2781" w:rsidP="00DE096B">
            <w:pPr>
              <w:rPr>
                <w:lang w:val="en-GB"/>
              </w:rPr>
            </w:pPr>
            <w:r w:rsidRPr="00053F22">
              <w:rPr>
                <w:lang w:val="en-GB"/>
              </w:rPr>
              <w:t>Additional information HR Services.</w:t>
            </w:r>
          </w:p>
        </w:tc>
      </w:tr>
      <w:tr w:rsidR="009C2781" w:rsidRPr="00053F22" w14:paraId="5EB1A7A1" w14:textId="42222F6F" w:rsidTr="00A63EA2">
        <w:trPr>
          <w:trHeight w:val="269"/>
        </w:trPr>
        <w:tc>
          <w:tcPr>
            <w:tcW w:w="788" w:type="pct"/>
          </w:tcPr>
          <w:p w14:paraId="5E4BD536" w14:textId="00658493" w:rsidR="009C2781" w:rsidRPr="00053F22" w:rsidRDefault="009C2781" w:rsidP="00DE096B">
            <w:pPr>
              <w:pStyle w:val="ListParagraph"/>
              <w:numPr>
                <w:ilvl w:val="0"/>
                <w:numId w:val="18"/>
              </w:numPr>
              <w:rPr>
                <w:lang w:val="en-GB"/>
              </w:rPr>
            </w:pPr>
            <w:proofErr w:type="spellStart"/>
            <w:r w:rsidRPr="00053F22">
              <w:rPr>
                <w:lang w:val="en-GB"/>
              </w:rPr>
              <w:t>Qreform</w:t>
            </w:r>
            <w:proofErr w:type="spellEnd"/>
            <w:r w:rsidRPr="00053F22">
              <w:rPr>
                <w:lang w:val="en-GB"/>
              </w:rPr>
              <w:t xml:space="preserve"> Oy, Rego</w:t>
            </w:r>
          </w:p>
        </w:tc>
        <w:tc>
          <w:tcPr>
            <w:tcW w:w="900" w:type="pct"/>
          </w:tcPr>
          <w:p w14:paraId="1E3F6125" w14:textId="23AC381C" w:rsidR="009C2781" w:rsidRPr="00053F22" w:rsidRDefault="009C2781" w:rsidP="00DE096B">
            <w:pPr>
              <w:rPr>
                <w:lang w:val="en-GB"/>
              </w:rPr>
            </w:pPr>
            <w:r w:rsidRPr="00053F22">
              <w:rPr>
                <w:lang w:val="en-GB"/>
              </w:rPr>
              <w:t>Risk management</w:t>
            </w:r>
          </w:p>
        </w:tc>
        <w:tc>
          <w:tcPr>
            <w:tcW w:w="1780" w:type="pct"/>
          </w:tcPr>
          <w:p w14:paraId="007E8AD5" w14:textId="5BC9D52C" w:rsidR="009C2781" w:rsidRPr="00053F22" w:rsidRDefault="009C2781" w:rsidP="00DE096B">
            <w:pPr>
              <w:rPr>
                <w:rFonts w:cstheme="minorHAnsi"/>
                <w:lang w:val="en-GB"/>
              </w:rPr>
            </w:pPr>
            <w:r w:rsidRPr="00053F22">
              <w:rPr>
                <w:rFonts w:cstheme="minorHAnsi"/>
                <w:lang w:val="en-GB"/>
              </w:rPr>
              <w:t>The following data can be saved to a personal profile: the employee’s basic information and organisation data.</w:t>
            </w:r>
          </w:p>
        </w:tc>
        <w:tc>
          <w:tcPr>
            <w:tcW w:w="1532" w:type="pct"/>
          </w:tcPr>
          <w:p w14:paraId="11A0BE4F" w14:textId="67084D15" w:rsidR="009C2781" w:rsidRPr="00053F22" w:rsidRDefault="009C2781" w:rsidP="00DE096B">
            <w:pPr>
              <w:rPr>
                <w:lang w:val="en-GB"/>
              </w:rPr>
            </w:pPr>
            <w:r w:rsidRPr="00053F22">
              <w:rPr>
                <w:lang w:val="en-GB"/>
              </w:rPr>
              <w:t>Not transferred.</w:t>
            </w:r>
          </w:p>
        </w:tc>
      </w:tr>
      <w:tr w:rsidR="009C2781" w:rsidRPr="00502BC9" w14:paraId="17F23081" w14:textId="121994A5" w:rsidTr="00A63EA2">
        <w:trPr>
          <w:trHeight w:val="269"/>
        </w:trPr>
        <w:tc>
          <w:tcPr>
            <w:tcW w:w="788" w:type="pct"/>
          </w:tcPr>
          <w:p w14:paraId="0F317D80" w14:textId="77777777" w:rsidR="009C2781" w:rsidRPr="00053F22" w:rsidRDefault="009C2781" w:rsidP="00DE096B">
            <w:pPr>
              <w:pStyle w:val="ListParagraph"/>
              <w:numPr>
                <w:ilvl w:val="0"/>
                <w:numId w:val="18"/>
              </w:numPr>
              <w:rPr>
                <w:lang w:val="en-GB"/>
              </w:rPr>
            </w:pPr>
            <w:proofErr w:type="spellStart"/>
            <w:r w:rsidRPr="00053F22">
              <w:rPr>
                <w:lang w:val="en-GB"/>
              </w:rPr>
              <w:t>RecRight</w:t>
            </w:r>
            <w:proofErr w:type="spellEnd"/>
            <w:r w:rsidRPr="00053F22">
              <w:rPr>
                <w:lang w:val="en-GB"/>
              </w:rPr>
              <w:t>, Mobile CV Oy</w:t>
            </w:r>
          </w:p>
        </w:tc>
        <w:tc>
          <w:tcPr>
            <w:tcW w:w="900" w:type="pct"/>
          </w:tcPr>
          <w:p w14:paraId="12EA0204" w14:textId="0375D2EA" w:rsidR="009C2781" w:rsidRPr="00053F22" w:rsidRDefault="009C2781" w:rsidP="00DE096B">
            <w:pPr>
              <w:rPr>
                <w:lang w:val="en-GB"/>
              </w:rPr>
            </w:pPr>
            <w:r w:rsidRPr="00053F22">
              <w:rPr>
                <w:lang w:val="en-GB"/>
              </w:rPr>
              <w:t>HR</w:t>
            </w:r>
            <w:r w:rsidR="0029418D">
              <w:rPr>
                <w:lang w:val="en-GB"/>
              </w:rPr>
              <w:t xml:space="preserve"> and student administration</w:t>
            </w:r>
          </w:p>
        </w:tc>
        <w:tc>
          <w:tcPr>
            <w:tcW w:w="1780" w:type="pct"/>
          </w:tcPr>
          <w:p w14:paraId="78A84E45" w14:textId="77E92661" w:rsidR="009C2781" w:rsidRPr="00053F22" w:rsidRDefault="009C2781" w:rsidP="00DE096B">
            <w:pPr>
              <w:rPr>
                <w:lang w:val="en-GB"/>
              </w:rPr>
            </w:pPr>
            <w:r w:rsidRPr="00053F22">
              <w:rPr>
                <w:lang w:val="en-GB"/>
              </w:rPr>
              <w:t>Job-seeker interviews (when needed, used for student admissions)</w:t>
            </w:r>
          </w:p>
        </w:tc>
        <w:tc>
          <w:tcPr>
            <w:tcW w:w="1532" w:type="pct"/>
          </w:tcPr>
          <w:p w14:paraId="6BCFA4CD" w14:textId="26413756" w:rsidR="009C2781" w:rsidRPr="00053F22" w:rsidRDefault="009C2781" w:rsidP="00DE096B">
            <w:pPr>
              <w:rPr>
                <w:lang w:val="en-GB"/>
              </w:rPr>
            </w:pPr>
            <w:r w:rsidRPr="00053F22">
              <w:rPr>
                <w:lang w:val="en-GB"/>
              </w:rPr>
              <w:t>No personal data are transferred.</w:t>
            </w:r>
          </w:p>
        </w:tc>
      </w:tr>
      <w:tr w:rsidR="003C5BFB" w:rsidRPr="00502BC9" w14:paraId="27A92EA8" w14:textId="77777777" w:rsidTr="00A63EA2">
        <w:trPr>
          <w:trHeight w:val="269"/>
        </w:trPr>
        <w:tc>
          <w:tcPr>
            <w:tcW w:w="788" w:type="pct"/>
          </w:tcPr>
          <w:p w14:paraId="10C3AFC5" w14:textId="6F2B0BE6" w:rsidR="003C5BFB" w:rsidRPr="00053F22" w:rsidRDefault="003C5BFB" w:rsidP="00DE096B">
            <w:pPr>
              <w:pStyle w:val="ListParagraph"/>
              <w:numPr>
                <w:ilvl w:val="0"/>
                <w:numId w:val="18"/>
              </w:numPr>
              <w:rPr>
                <w:lang w:val="en-GB"/>
              </w:rPr>
            </w:pPr>
            <w:r>
              <w:rPr>
                <w:lang w:val="en-GB"/>
              </w:rPr>
              <w:t>Sanako</w:t>
            </w:r>
          </w:p>
        </w:tc>
        <w:tc>
          <w:tcPr>
            <w:tcW w:w="900" w:type="pct"/>
          </w:tcPr>
          <w:p w14:paraId="3E3ADD5A" w14:textId="4BFDB384" w:rsidR="003C5BFB" w:rsidRPr="00053F22" w:rsidRDefault="00DB3F4C" w:rsidP="00DE096B">
            <w:pPr>
              <w:rPr>
                <w:lang w:val="en-GB"/>
              </w:rPr>
            </w:pPr>
            <w:r w:rsidRPr="00DB3F4C">
              <w:rPr>
                <w:lang w:val="en-GB"/>
              </w:rPr>
              <w:t>Cloud-based language studio for language learning, platform/environment, video conferencing, audio recording</w:t>
            </w:r>
          </w:p>
        </w:tc>
        <w:tc>
          <w:tcPr>
            <w:tcW w:w="1780" w:type="pct"/>
          </w:tcPr>
          <w:p w14:paraId="6802A9FC" w14:textId="77777777" w:rsidR="00DB3F4C" w:rsidRPr="00DB3F4C" w:rsidRDefault="00DB3F4C" w:rsidP="00DB3F4C">
            <w:pPr>
              <w:shd w:val="clear" w:color="auto" w:fill="FFFFFF"/>
              <w:rPr>
                <w:b/>
                <w:bCs/>
                <w:lang w:val="en-GB"/>
              </w:rPr>
            </w:pPr>
            <w:r w:rsidRPr="00DB3F4C">
              <w:rPr>
                <w:b/>
                <w:bCs/>
                <w:lang w:val="en-GB"/>
              </w:rPr>
              <w:t xml:space="preserve">Purposes of processing: </w:t>
            </w:r>
            <w:r w:rsidRPr="00DB3F4C">
              <w:rPr>
                <w:lang w:val="en-GB"/>
              </w:rPr>
              <w:t xml:space="preserve">personal data of customers and content entered by customers are processed (a) to identify the teacher for logging in to the service, (b) to store user-generated content and (c) to contact him/her in case of problems and for customer relations purposes. </w:t>
            </w:r>
            <w:r>
              <w:rPr>
                <w:lang w:val="en-GB"/>
              </w:rPr>
              <w:t>T</w:t>
            </w:r>
            <w:r w:rsidRPr="00DB3F4C">
              <w:rPr>
                <w:lang w:val="en-GB"/>
              </w:rPr>
              <w:t>o provide customer service.</w:t>
            </w:r>
            <w:r>
              <w:rPr>
                <w:lang w:val="en-GB"/>
              </w:rPr>
              <w:t xml:space="preserve"> For (c) Sanako is the data controller. </w:t>
            </w:r>
            <w:r w:rsidRPr="00DB3F4C">
              <w:rPr>
                <w:b/>
                <w:bCs/>
                <w:lang w:val="en-GB"/>
              </w:rPr>
              <w:t>Type of personal data and categories of data subjects: categories of data subjects:</w:t>
            </w:r>
          </w:p>
          <w:p w14:paraId="494007DB" w14:textId="77777777" w:rsidR="00DB3F4C" w:rsidRPr="00DB3F4C" w:rsidRDefault="00DB3F4C" w:rsidP="00DB3F4C">
            <w:pPr>
              <w:shd w:val="clear" w:color="auto" w:fill="FFFFFF"/>
              <w:rPr>
                <w:lang w:val="en-GB"/>
              </w:rPr>
            </w:pPr>
            <w:r w:rsidRPr="00DB3F4C">
              <w:rPr>
                <w:lang w:val="en-GB"/>
              </w:rPr>
              <w:t>1) persons who have created a teacher account</w:t>
            </w:r>
          </w:p>
          <w:p w14:paraId="387A3832" w14:textId="77777777" w:rsidR="00DB3F4C" w:rsidRPr="00DB3F4C" w:rsidRDefault="00DB3F4C" w:rsidP="00DB3F4C">
            <w:pPr>
              <w:shd w:val="clear" w:color="auto" w:fill="FFFFFF"/>
              <w:rPr>
                <w:lang w:val="en-GB"/>
              </w:rPr>
            </w:pPr>
            <w:r w:rsidRPr="00DB3F4C">
              <w:rPr>
                <w:lang w:val="en-GB"/>
              </w:rPr>
              <w:t>2) students using the service</w:t>
            </w:r>
          </w:p>
          <w:p w14:paraId="43CAB59F" w14:textId="77777777" w:rsidR="00DB3F4C" w:rsidRPr="00DB3F4C" w:rsidRDefault="00DB3F4C" w:rsidP="00DB3F4C">
            <w:pPr>
              <w:shd w:val="clear" w:color="auto" w:fill="FFFFFF"/>
              <w:rPr>
                <w:lang w:val="en-GB"/>
              </w:rPr>
            </w:pPr>
            <w:r w:rsidRPr="00DB3F4C">
              <w:rPr>
                <w:lang w:val="en-GB"/>
              </w:rPr>
              <w:t>3) and users of the customer support system</w:t>
            </w:r>
          </w:p>
          <w:p w14:paraId="52A67E56" w14:textId="68DD0CE1" w:rsidR="00DB3F4C" w:rsidRPr="00DB3F4C" w:rsidRDefault="00DB3F4C" w:rsidP="00DB3F4C">
            <w:pPr>
              <w:shd w:val="clear" w:color="auto" w:fill="FFFFFF"/>
              <w:rPr>
                <w:lang w:val="en-GB"/>
              </w:rPr>
            </w:pPr>
            <w:r w:rsidRPr="00DB3F4C">
              <w:rPr>
                <w:lang w:val="en-GB"/>
              </w:rPr>
              <w:t xml:space="preserve">Personal data processed (a) the teacher's e-mail address (if logged in to the account), (b) the name or pseudonym given by the teacher, (c) the name or pseudonym given by the student, (d) the content entered by the user into the service, such as texts, audio recordings and video recordings. </w:t>
            </w:r>
          </w:p>
          <w:p w14:paraId="734A95CA" w14:textId="58498075" w:rsidR="003C5BFB" w:rsidRPr="00490839" w:rsidRDefault="00DB3F4C" w:rsidP="00DB3F4C">
            <w:pPr>
              <w:shd w:val="clear" w:color="auto" w:fill="FFFFFF"/>
              <w:rPr>
                <w:b/>
                <w:bCs/>
                <w:lang w:val="en-GB"/>
              </w:rPr>
            </w:pPr>
            <w:r w:rsidRPr="00DB3F4C">
              <w:rPr>
                <w:b/>
                <w:bCs/>
                <w:lang w:val="en-GB"/>
              </w:rPr>
              <w:t>Retention period</w:t>
            </w:r>
            <w:r w:rsidRPr="00DB3F4C">
              <w:rPr>
                <w:lang w:val="en-GB"/>
              </w:rPr>
              <w:t>, manual deletion of unused accounts.</w:t>
            </w:r>
          </w:p>
        </w:tc>
        <w:tc>
          <w:tcPr>
            <w:tcW w:w="1532" w:type="pct"/>
          </w:tcPr>
          <w:p w14:paraId="0F616D42" w14:textId="77777777" w:rsidR="003C5BFB" w:rsidRPr="00053F22" w:rsidRDefault="003C5BFB" w:rsidP="00DE096B">
            <w:pPr>
              <w:rPr>
                <w:lang w:val="en-GB"/>
              </w:rPr>
            </w:pPr>
          </w:p>
        </w:tc>
      </w:tr>
      <w:tr w:rsidR="009C2781" w:rsidRPr="00053F22" w14:paraId="7FB64598" w14:textId="00355C05" w:rsidTr="00A63EA2">
        <w:trPr>
          <w:trHeight w:val="269"/>
        </w:trPr>
        <w:tc>
          <w:tcPr>
            <w:tcW w:w="788" w:type="pct"/>
          </w:tcPr>
          <w:p w14:paraId="482F0D80" w14:textId="4C1585DE" w:rsidR="009C2781" w:rsidRPr="00053F22" w:rsidRDefault="009C2781" w:rsidP="00DE096B">
            <w:pPr>
              <w:pStyle w:val="ListParagraph"/>
              <w:numPr>
                <w:ilvl w:val="0"/>
                <w:numId w:val="18"/>
              </w:numPr>
              <w:rPr>
                <w:lang w:val="en-GB"/>
              </w:rPr>
            </w:pPr>
            <w:r w:rsidRPr="00053F22">
              <w:rPr>
                <w:lang w:val="en-GB"/>
              </w:rPr>
              <w:t>Secapp, Secapp Oy</w:t>
            </w:r>
          </w:p>
        </w:tc>
        <w:tc>
          <w:tcPr>
            <w:tcW w:w="900" w:type="pct"/>
          </w:tcPr>
          <w:p w14:paraId="5025B3C7" w14:textId="437B0D18" w:rsidR="009C2781" w:rsidRPr="00053F22" w:rsidRDefault="009C2781" w:rsidP="00DE096B">
            <w:pPr>
              <w:rPr>
                <w:lang w:val="en-GB"/>
              </w:rPr>
            </w:pPr>
            <w:r w:rsidRPr="00053F22">
              <w:rPr>
                <w:lang w:val="en-GB"/>
              </w:rPr>
              <w:t xml:space="preserve">Safety, risk management, an alarm and communication application </w:t>
            </w:r>
          </w:p>
        </w:tc>
        <w:tc>
          <w:tcPr>
            <w:tcW w:w="1780" w:type="pct"/>
          </w:tcPr>
          <w:p w14:paraId="7223937A" w14:textId="1E28A73D" w:rsidR="0029418D" w:rsidRDefault="0029418D" w:rsidP="00DE096B">
            <w:pPr>
              <w:shd w:val="clear" w:color="auto" w:fill="FFFFFF"/>
              <w:rPr>
                <w:lang w:val="en-GB"/>
              </w:rPr>
            </w:pPr>
            <w:r w:rsidRPr="00490839">
              <w:rPr>
                <w:b/>
                <w:bCs/>
                <w:lang w:val="en-GB"/>
              </w:rPr>
              <w:t>Purpose of processing</w:t>
            </w:r>
            <w:r>
              <w:rPr>
                <w:b/>
                <w:bCs/>
                <w:lang w:val="en-GB"/>
              </w:rPr>
              <w:t>:</w:t>
            </w:r>
            <w:r w:rsidRPr="0029418D">
              <w:rPr>
                <w:lang w:val="en-US"/>
              </w:rPr>
              <w:t xml:space="preserve"> </w:t>
            </w:r>
            <w:r w:rsidRPr="0029418D">
              <w:rPr>
                <w:lang w:val="en-GB"/>
              </w:rPr>
              <w:t xml:space="preserve">Secapp is a SaaS platform for critical communication, alerting and documentation – built especially to cope with emergencies and ensure safety. It helps to broadcast mass </w:t>
            </w:r>
            <w:r w:rsidRPr="0029418D">
              <w:rPr>
                <w:lang w:val="en-GB"/>
              </w:rPr>
              <w:lastRenderedPageBreak/>
              <w:t>notifications, alert individuals and teams, collect critical data and provides secure chats and videos.</w:t>
            </w:r>
          </w:p>
          <w:p w14:paraId="7A7C55A6" w14:textId="77777777" w:rsidR="0029418D" w:rsidRDefault="0029418D" w:rsidP="00DE096B">
            <w:pPr>
              <w:shd w:val="clear" w:color="auto" w:fill="FFFFFF"/>
              <w:rPr>
                <w:rFonts w:ascii="Calibri" w:hAnsi="Calibri" w:cs="Calibri"/>
                <w:color w:val="444444"/>
                <w:lang w:val="en-GB"/>
              </w:rPr>
            </w:pPr>
          </w:p>
          <w:p w14:paraId="28084069" w14:textId="0EEECD20" w:rsidR="0029418D" w:rsidRPr="0029418D" w:rsidRDefault="0029418D" w:rsidP="0029418D">
            <w:pPr>
              <w:rPr>
                <w:b/>
                <w:bCs/>
                <w:lang w:val="en-GB"/>
              </w:rPr>
            </w:pPr>
            <w:r w:rsidRPr="009C2781">
              <w:rPr>
                <w:b/>
                <w:bCs/>
                <w:lang w:val="en-GB"/>
              </w:rPr>
              <w:t>Type of personal data and data subject categories</w:t>
            </w:r>
            <w:r>
              <w:rPr>
                <w:b/>
                <w:bCs/>
                <w:lang w:val="en-GB"/>
              </w:rPr>
              <w:t xml:space="preserve">: </w:t>
            </w:r>
          </w:p>
          <w:p w14:paraId="516EAFAF" w14:textId="15821B77" w:rsidR="009C2781" w:rsidRPr="00053F22" w:rsidRDefault="009C2781" w:rsidP="00DE096B">
            <w:pPr>
              <w:shd w:val="clear" w:color="auto" w:fill="FFFFFF"/>
              <w:rPr>
                <w:rFonts w:ascii="Calibri" w:hAnsi="Calibri" w:cs="Calibri"/>
                <w:color w:val="444444"/>
                <w:lang w:val="en-GB"/>
              </w:rPr>
            </w:pPr>
            <w:r w:rsidRPr="00053F22">
              <w:rPr>
                <w:rFonts w:ascii="Calibri" w:hAnsi="Calibri" w:cs="Calibri"/>
                <w:color w:val="444444"/>
                <w:lang w:val="en-GB"/>
              </w:rPr>
              <w:t xml:space="preserve">User identification data (e.g. name, phone number, email address). </w:t>
            </w:r>
            <w:r w:rsidR="00EC5875">
              <w:rPr>
                <w:rFonts w:ascii="Calibri" w:hAnsi="Calibri" w:cs="Calibri"/>
                <w:color w:val="444444"/>
                <w:lang w:val="en-GB"/>
              </w:rPr>
              <w:t xml:space="preserve"> </w:t>
            </w:r>
            <w:r w:rsidRPr="00053F22">
              <w:rPr>
                <w:rFonts w:ascii="Calibri" w:hAnsi="Calibri" w:cs="Calibri"/>
                <w:color w:val="444444"/>
                <w:lang w:val="en-GB"/>
              </w:rPr>
              <w:t>The University deploys (upon the user’s consent) location data only for those working alone on the ground or in waterways. Location data is used for locating</w:t>
            </w:r>
            <w:r>
              <w:rPr>
                <w:rFonts w:ascii="Calibri" w:hAnsi="Calibri" w:cs="Calibri"/>
                <w:color w:val="444444"/>
                <w:lang w:val="en-GB"/>
              </w:rPr>
              <w:t xml:space="preserve"> the user</w:t>
            </w:r>
            <w:r w:rsidRPr="00053F22">
              <w:rPr>
                <w:rFonts w:ascii="Calibri" w:hAnsi="Calibri" w:cs="Calibri"/>
                <w:color w:val="444444"/>
                <w:lang w:val="en-GB"/>
              </w:rPr>
              <w:t xml:space="preserve"> in an emergency. </w:t>
            </w:r>
            <w:r w:rsidR="0029418D">
              <w:rPr>
                <w:rFonts w:ascii="Calibri" w:hAnsi="Calibri" w:cs="Calibri"/>
                <w:color w:val="444444"/>
                <w:lang w:val="en-GB"/>
              </w:rPr>
              <w:t xml:space="preserve"> </w:t>
            </w:r>
            <w:r w:rsidRPr="00053F22">
              <w:rPr>
                <w:rFonts w:ascii="Calibri" w:hAnsi="Calibri" w:cs="Calibri"/>
                <w:color w:val="444444"/>
                <w:lang w:val="en-GB"/>
              </w:rPr>
              <w:t xml:space="preserve">Smartphone operating system data for the delivery of </w:t>
            </w:r>
            <w:proofErr w:type="spellStart"/>
            <w:proofErr w:type="gramStart"/>
            <w:r w:rsidRPr="00053F22">
              <w:rPr>
                <w:rFonts w:ascii="Calibri" w:hAnsi="Calibri" w:cs="Calibri"/>
                <w:color w:val="444444"/>
                <w:lang w:val="en-GB"/>
              </w:rPr>
              <w:t>messages.The</w:t>
            </w:r>
            <w:proofErr w:type="spellEnd"/>
            <w:proofErr w:type="gramEnd"/>
            <w:r w:rsidRPr="00053F22">
              <w:rPr>
                <w:rFonts w:ascii="Calibri" w:hAnsi="Calibri" w:cs="Calibri"/>
                <w:color w:val="444444"/>
                <w:lang w:val="en-GB"/>
              </w:rPr>
              <w:t xml:space="preserve"> content of messages sent between users, which may include e.g. text and images, video and audio recordings, location data and various files. Information about service usage, such as e.g. log data.</w:t>
            </w:r>
          </w:p>
        </w:tc>
        <w:tc>
          <w:tcPr>
            <w:tcW w:w="1532" w:type="pct"/>
          </w:tcPr>
          <w:p w14:paraId="1E56B6FA" w14:textId="5B49390B" w:rsidR="009C2781" w:rsidRPr="00053F22" w:rsidRDefault="009C2781" w:rsidP="00DE096B">
            <w:pPr>
              <w:rPr>
                <w:lang w:val="en-GB"/>
              </w:rPr>
            </w:pPr>
            <w:r w:rsidRPr="00053F22">
              <w:rPr>
                <w:lang w:val="en-GB"/>
              </w:rPr>
              <w:lastRenderedPageBreak/>
              <w:t>Not transferred.</w:t>
            </w:r>
          </w:p>
        </w:tc>
      </w:tr>
      <w:tr w:rsidR="009C2781" w:rsidRPr="009C2781" w14:paraId="152E8066" w14:textId="230BB8D5" w:rsidTr="00A63EA2">
        <w:trPr>
          <w:trHeight w:val="269"/>
        </w:trPr>
        <w:tc>
          <w:tcPr>
            <w:tcW w:w="788" w:type="pct"/>
          </w:tcPr>
          <w:p w14:paraId="413B8B39" w14:textId="77777777" w:rsidR="009C2781" w:rsidRPr="00053F22" w:rsidRDefault="009C2781" w:rsidP="00DE096B">
            <w:pPr>
              <w:pStyle w:val="ListParagraph"/>
              <w:numPr>
                <w:ilvl w:val="0"/>
                <w:numId w:val="18"/>
              </w:numPr>
              <w:rPr>
                <w:lang w:val="en-GB"/>
              </w:rPr>
            </w:pPr>
            <w:proofErr w:type="spellStart"/>
            <w:r w:rsidRPr="00053F22">
              <w:rPr>
                <w:lang w:val="en-GB"/>
              </w:rPr>
              <w:t>SarakeSign</w:t>
            </w:r>
            <w:proofErr w:type="spellEnd"/>
            <w:r w:rsidRPr="00053F22">
              <w:rPr>
                <w:lang w:val="en-GB"/>
              </w:rPr>
              <w:t xml:space="preserve"> </w:t>
            </w:r>
            <w:proofErr w:type="spellStart"/>
            <w:r w:rsidRPr="00053F22">
              <w:rPr>
                <w:lang w:val="en-GB"/>
              </w:rPr>
              <w:t>Sarake</w:t>
            </w:r>
            <w:proofErr w:type="spellEnd"/>
            <w:r w:rsidRPr="00053F22">
              <w:rPr>
                <w:lang w:val="en-GB"/>
              </w:rPr>
              <w:t xml:space="preserve"> Oy</w:t>
            </w:r>
          </w:p>
        </w:tc>
        <w:tc>
          <w:tcPr>
            <w:tcW w:w="900" w:type="pct"/>
          </w:tcPr>
          <w:p w14:paraId="035A6BF3" w14:textId="1889BC83" w:rsidR="009C2781" w:rsidRPr="00053F22" w:rsidRDefault="0029418D" w:rsidP="00DE096B">
            <w:pPr>
              <w:rPr>
                <w:lang w:val="en-GB"/>
              </w:rPr>
            </w:pPr>
            <w:r>
              <w:rPr>
                <w:lang w:val="en-GB"/>
              </w:rPr>
              <w:t>Electronic signatures</w:t>
            </w:r>
          </w:p>
        </w:tc>
        <w:tc>
          <w:tcPr>
            <w:tcW w:w="1780" w:type="pct"/>
          </w:tcPr>
          <w:p w14:paraId="2458D2B0" w14:textId="2A2EFBEB" w:rsidR="009C2781" w:rsidRPr="00053F22" w:rsidRDefault="0029418D" w:rsidP="00DE096B">
            <w:pPr>
              <w:rPr>
                <w:lang w:val="en-GB"/>
              </w:rPr>
            </w:pPr>
            <w:r w:rsidRPr="00490839">
              <w:rPr>
                <w:b/>
                <w:bCs/>
                <w:lang w:val="en-GB"/>
              </w:rPr>
              <w:t>Purpose of processing</w:t>
            </w:r>
            <w:r>
              <w:rPr>
                <w:lang w:val="en-GB"/>
              </w:rPr>
              <w:t>: a</w:t>
            </w:r>
            <w:r w:rsidR="009C2781" w:rsidRPr="00053F22">
              <w:rPr>
                <w:lang w:val="en-GB"/>
              </w:rPr>
              <w:t xml:space="preserve"> service produced and provided by </w:t>
            </w:r>
            <w:proofErr w:type="spellStart"/>
            <w:r w:rsidR="009C2781" w:rsidRPr="00053F22">
              <w:rPr>
                <w:lang w:val="en-GB"/>
              </w:rPr>
              <w:t>Sarake</w:t>
            </w:r>
            <w:proofErr w:type="spellEnd"/>
            <w:r w:rsidR="009C2781" w:rsidRPr="00053F22">
              <w:rPr>
                <w:lang w:val="en-GB"/>
              </w:rPr>
              <w:t xml:space="preserve"> Oy, which enables electronic signing of documents and sending them to others for reviewing and signing. .</w:t>
            </w:r>
          </w:p>
        </w:tc>
        <w:tc>
          <w:tcPr>
            <w:tcW w:w="1532" w:type="pct"/>
          </w:tcPr>
          <w:p w14:paraId="7E9780A0" w14:textId="2940CDE8" w:rsidR="009C2781" w:rsidRPr="00053F22" w:rsidRDefault="009C2781" w:rsidP="00DE096B">
            <w:pPr>
              <w:rPr>
                <w:lang w:val="en-GB"/>
              </w:rPr>
            </w:pPr>
            <w:r w:rsidRPr="00053F22">
              <w:rPr>
                <w:lang w:val="en-GB"/>
              </w:rPr>
              <w:t>N</w:t>
            </w:r>
            <w:r w:rsidR="0029418D">
              <w:rPr>
                <w:lang w:val="en-GB"/>
              </w:rPr>
              <w:t xml:space="preserve">ot </w:t>
            </w:r>
            <w:r w:rsidRPr="00053F22">
              <w:rPr>
                <w:lang w:val="en-GB"/>
              </w:rPr>
              <w:t>transferred.</w:t>
            </w:r>
          </w:p>
        </w:tc>
      </w:tr>
      <w:tr w:rsidR="009C2781" w:rsidRPr="00053F22" w14:paraId="4C75D938" w14:textId="0FE426A0" w:rsidTr="00A63EA2">
        <w:trPr>
          <w:cantSplit/>
          <w:trHeight w:val="269"/>
        </w:trPr>
        <w:tc>
          <w:tcPr>
            <w:tcW w:w="788" w:type="pct"/>
          </w:tcPr>
          <w:p w14:paraId="34008FB7" w14:textId="1DC2F772" w:rsidR="009C2781" w:rsidRPr="00053F22" w:rsidRDefault="009C2781" w:rsidP="00DE096B">
            <w:pPr>
              <w:pStyle w:val="ListParagraph"/>
              <w:numPr>
                <w:ilvl w:val="0"/>
                <w:numId w:val="18"/>
              </w:numPr>
              <w:rPr>
                <w:lang w:val="en-GB"/>
              </w:rPr>
            </w:pPr>
            <w:r w:rsidRPr="00053F22">
              <w:rPr>
                <w:lang w:val="en-GB"/>
              </w:rPr>
              <w:t>ServiceNow or help.jyu.fi</w:t>
            </w:r>
          </w:p>
          <w:p w14:paraId="14961DF9" w14:textId="77777777" w:rsidR="009C2781" w:rsidRPr="00053F22" w:rsidRDefault="009C2781" w:rsidP="00DE096B">
            <w:pPr>
              <w:pStyle w:val="ListParagraph"/>
              <w:rPr>
                <w:lang w:val="en-GB"/>
              </w:rPr>
            </w:pPr>
            <w:r w:rsidRPr="00053F22">
              <w:rPr>
                <w:lang w:val="en-GB"/>
              </w:rPr>
              <w:t>Fujitsu Finland Oy</w:t>
            </w:r>
          </w:p>
        </w:tc>
        <w:tc>
          <w:tcPr>
            <w:tcW w:w="900" w:type="pct"/>
          </w:tcPr>
          <w:p w14:paraId="7B60EB68" w14:textId="0E764BB1" w:rsidR="009C2781" w:rsidRPr="00053F22" w:rsidRDefault="009C2781" w:rsidP="00DE096B">
            <w:pPr>
              <w:rPr>
                <w:lang w:val="en-GB"/>
              </w:rPr>
            </w:pPr>
            <w:r w:rsidRPr="00053F22">
              <w:rPr>
                <w:lang w:val="en-GB"/>
              </w:rPr>
              <w:t>Management of service requests</w:t>
            </w:r>
          </w:p>
        </w:tc>
        <w:tc>
          <w:tcPr>
            <w:tcW w:w="1780" w:type="pct"/>
          </w:tcPr>
          <w:p w14:paraId="0BE21E2B" w14:textId="3ABC0D37" w:rsidR="009C2781" w:rsidRPr="00053F22" w:rsidRDefault="0029418D" w:rsidP="00DE096B">
            <w:pPr>
              <w:rPr>
                <w:lang w:val="en-GB"/>
              </w:rPr>
            </w:pPr>
            <w:r w:rsidRPr="00490839">
              <w:rPr>
                <w:b/>
                <w:bCs/>
                <w:lang w:val="en-GB"/>
              </w:rPr>
              <w:t xml:space="preserve">Purpose of </w:t>
            </w:r>
            <w:proofErr w:type="gramStart"/>
            <w:r w:rsidRPr="00490839">
              <w:rPr>
                <w:b/>
                <w:bCs/>
                <w:lang w:val="en-GB"/>
              </w:rPr>
              <w:t>processing</w:t>
            </w:r>
            <w:r w:rsidRPr="00053F22">
              <w:rPr>
                <w:lang w:val="en-GB"/>
              </w:rPr>
              <w:t xml:space="preserve"> </w:t>
            </w:r>
            <w:r>
              <w:rPr>
                <w:lang w:val="en-GB"/>
              </w:rPr>
              <w:t>:</w:t>
            </w:r>
            <w:r w:rsidR="009C2781" w:rsidRPr="00053F22">
              <w:rPr>
                <w:lang w:val="en-GB"/>
              </w:rPr>
              <w:t>As</w:t>
            </w:r>
            <w:proofErr w:type="gramEnd"/>
            <w:r w:rsidR="009C2781" w:rsidRPr="00053F22">
              <w:rPr>
                <w:lang w:val="en-GB"/>
              </w:rPr>
              <w:t xml:space="preserve"> a centralised service management system for the University’s service provision, HelpJYU is used for the processing and statistics of service requests, fault reports, orders and advice as well as for managing workflows involving approvals.</w:t>
            </w:r>
            <w:r>
              <w:rPr>
                <w:lang w:val="en-GB"/>
              </w:rPr>
              <w:t xml:space="preserve"> </w:t>
            </w:r>
            <w:r w:rsidR="009C2781" w:rsidRPr="00053F22">
              <w:rPr>
                <w:lang w:val="en-GB"/>
              </w:rPr>
              <w:t>In addition, the system is used for maintaining a knowledge base (instructions) and dealing with information security breach reports.</w:t>
            </w:r>
          </w:p>
          <w:p w14:paraId="7CAC1030" w14:textId="77777777" w:rsidR="009C2781" w:rsidRPr="00053F22" w:rsidRDefault="009C2781" w:rsidP="00DE096B">
            <w:pPr>
              <w:rPr>
                <w:lang w:val="en-GB"/>
              </w:rPr>
            </w:pPr>
          </w:p>
        </w:tc>
        <w:tc>
          <w:tcPr>
            <w:tcW w:w="1532" w:type="pct"/>
          </w:tcPr>
          <w:p w14:paraId="6FF606F5" w14:textId="1CA108F2" w:rsidR="009C2781" w:rsidRPr="00053F22" w:rsidRDefault="009C2781" w:rsidP="00DE096B">
            <w:pPr>
              <w:rPr>
                <w:lang w:val="en-GB"/>
              </w:rPr>
            </w:pPr>
            <w:r w:rsidRPr="00053F22">
              <w:rPr>
                <w:lang w:val="en-GB"/>
              </w:rPr>
              <w:t>Not transferred.</w:t>
            </w:r>
          </w:p>
        </w:tc>
      </w:tr>
      <w:tr w:rsidR="009C2781" w:rsidRPr="00502BC9" w14:paraId="7C20ADB9" w14:textId="226F81CB" w:rsidTr="00A63EA2">
        <w:trPr>
          <w:trHeight w:val="269"/>
        </w:trPr>
        <w:tc>
          <w:tcPr>
            <w:tcW w:w="788" w:type="pct"/>
          </w:tcPr>
          <w:p w14:paraId="40CAD14A" w14:textId="77777777" w:rsidR="009C2781" w:rsidRPr="00053F22" w:rsidRDefault="009C2781" w:rsidP="00DE096B">
            <w:pPr>
              <w:pStyle w:val="ListParagraph"/>
              <w:numPr>
                <w:ilvl w:val="0"/>
                <w:numId w:val="18"/>
              </w:numPr>
              <w:rPr>
                <w:lang w:val="en-GB"/>
              </w:rPr>
            </w:pPr>
            <w:proofErr w:type="spellStart"/>
            <w:r w:rsidRPr="00053F22">
              <w:rPr>
                <w:lang w:val="en-GB"/>
              </w:rPr>
              <w:t>Studyportal</w:t>
            </w:r>
            <w:proofErr w:type="spellEnd"/>
          </w:p>
        </w:tc>
        <w:tc>
          <w:tcPr>
            <w:tcW w:w="900" w:type="pct"/>
          </w:tcPr>
          <w:p w14:paraId="6A80AF99" w14:textId="74760350" w:rsidR="009C2781" w:rsidRPr="00053F22" w:rsidRDefault="009C2781" w:rsidP="00DE096B">
            <w:pPr>
              <w:rPr>
                <w:lang w:val="en-GB"/>
              </w:rPr>
            </w:pPr>
            <w:r w:rsidRPr="00053F22">
              <w:rPr>
                <w:lang w:val="en-GB"/>
              </w:rPr>
              <w:t>-</w:t>
            </w:r>
          </w:p>
        </w:tc>
        <w:tc>
          <w:tcPr>
            <w:tcW w:w="1780" w:type="pct"/>
          </w:tcPr>
          <w:p w14:paraId="3FCBC811" w14:textId="54ABA49D" w:rsidR="009C2781" w:rsidRPr="00053F22" w:rsidRDefault="009C2781" w:rsidP="00DE096B">
            <w:pPr>
              <w:rPr>
                <w:lang w:val="en-GB"/>
              </w:rPr>
            </w:pPr>
            <w:r w:rsidRPr="00053F22">
              <w:rPr>
                <w:lang w:val="en-GB"/>
              </w:rPr>
              <w:t xml:space="preserve">A system for the </w:t>
            </w:r>
            <w:r>
              <w:rPr>
                <w:lang w:val="en-GB"/>
              </w:rPr>
              <w:t>“</w:t>
            </w:r>
            <w:r w:rsidRPr="00053F22">
              <w:rPr>
                <w:lang w:val="en-GB"/>
              </w:rPr>
              <w:t xml:space="preserve">recruitment” of foreign students </w:t>
            </w:r>
          </w:p>
        </w:tc>
        <w:tc>
          <w:tcPr>
            <w:tcW w:w="1532" w:type="pct"/>
          </w:tcPr>
          <w:p w14:paraId="07C71942" w14:textId="5414CA81" w:rsidR="009C2781" w:rsidRPr="00053F22" w:rsidRDefault="009C2781" w:rsidP="00DE096B">
            <w:pPr>
              <w:rPr>
                <w:lang w:val="en-GB"/>
              </w:rPr>
            </w:pPr>
            <w:r w:rsidRPr="00053F22">
              <w:rPr>
                <w:lang w:val="en-GB"/>
              </w:rPr>
              <w:t>Personal data are transferred only as anonymised.</w:t>
            </w:r>
          </w:p>
        </w:tc>
      </w:tr>
      <w:tr w:rsidR="009C2781" w:rsidRPr="00053F22" w14:paraId="432F8E02" w14:textId="0027DA13" w:rsidTr="00A63EA2">
        <w:trPr>
          <w:trHeight w:val="269"/>
        </w:trPr>
        <w:tc>
          <w:tcPr>
            <w:tcW w:w="788" w:type="pct"/>
          </w:tcPr>
          <w:p w14:paraId="0CB58D9E" w14:textId="77777777" w:rsidR="009C2781" w:rsidRPr="00053F22" w:rsidRDefault="009C2781" w:rsidP="00DE096B">
            <w:pPr>
              <w:pStyle w:val="ListParagraph"/>
              <w:numPr>
                <w:ilvl w:val="0"/>
                <w:numId w:val="18"/>
              </w:numPr>
              <w:rPr>
                <w:lang w:val="en-GB"/>
              </w:rPr>
            </w:pPr>
            <w:proofErr w:type="spellStart"/>
            <w:r w:rsidRPr="00053F22">
              <w:rPr>
                <w:lang w:val="en-GB"/>
              </w:rPr>
              <w:t>Suunta</w:t>
            </w:r>
            <w:proofErr w:type="spellEnd"/>
            <w:r w:rsidRPr="00053F22">
              <w:rPr>
                <w:lang w:val="en-GB"/>
              </w:rPr>
              <w:t xml:space="preserve"> </w:t>
            </w:r>
            <w:proofErr w:type="spellStart"/>
            <w:r w:rsidRPr="00053F22">
              <w:rPr>
                <w:lang w:val="en-GB"/>
              </w:rPr>
              <w:t>Meklarit</w:t>
            </w:r>
            <w:proofErr w:type="spellEnd"/>
            <w:r w:rsidRPr="00053F22">
              <w:rPr>
                <w:lang w:val="en-GB"/>
              </w:rPr>
              <w:t xml:space="preserve"> Oy</w:t>
            </w:r>
          </w:p>
        </w:tc>
        <w:tc>
          <w:tcPr>
            <w:tcW w:w="900" w:type="pct"/>
          </w:tcPr>
          <w:p w14:paraId="7B4F6B75" w14:textId="77759C6A" w:rsidR="009C2781" w:rsidRPr="00053F22" w:rsidRDefault="009C2781" w:rsidP="00DE096B">
            <w:pPr>
              <w:rPr>
                <w:lang w:val="en-GB"/>
              </w:rPr>
            </w:pPr>
            <w:r w:rsidRPr="00053F22">
              <w:rPr>
                <w:lang w:val="en-GB"/>
              </w:rPr>
              <w:t>HR</w:t>
            </w:r>
          </w:p>
        </w:tc>
        <w:tc>
          <w:tcPr>
            <w:tcW w:w="1780" w:type="pct"/>
          </w:tcPr>
          <w:p w14:paraId="2C06A02B" w14:textId="54089163" w:rsidR="009C2781" w:rsidRPr="00053F22" w:rsidRDefault="009C2781" w:rsidP="00DE096B">
            <w:pPr>
              <w:rPr>
                <w:lang w:val="en-GB"/>
              </w:rPr>
            </w:pPr>
            <w:r w:rsidRPr="00053F22">
              <w:rPr>
                <w:lang w:val="en-GB"/>
              </w:rPr>
              <w:t xml:space="preserve">Management of insurance and accident issues as a continuous service, competitive bidding and enactment of insurances </w:t>
            </w:r>
          </w:p>
        </w:tc>
        <w:tc>
          <w:tcPr>
            <w:tcW w:w="1532" w:type="pct"/>
          </w:tcPr>
          <w:p w14:paraId="153B6D30" w14:textId="647040A9" w:rsidR="009C2781" w:rsidRPr="00053F22" w:rsidRDefault="009C2781" w:rsidP="00DE096B">
            <w:pPr>
              <w:rPr>
                <w:lang w:val="en-GB"/>
              </w:rPr>
            </w:pPr>
            <w:r w:rsidRPr="00053F22">
              <w:rPr>
                <w:lang w:val="en-GB"/>
              </w:rPr>
              <w:t>Not transferred.</w:t>
            </w:r>
          </w:p>
          <w:p w14:paraId="23D87C91" w14:textId="77777777" w:rsidR="009C2781" w:rsidRPr="00053F22" w:rsidRDefault="009C2781" w:rsidP="00DE096B">
            <w:pPr>
              <w:rPr>
                <w:lang w:val="en-GB"/>
              </w:rPr>
            </w:pPr>
          </w:p>
        </w:tc>
      </w:tr>
      <w:tr w:rsidR="009C2781" w:rsidRPr="00502BC9" w14:paraId="560E3FE7" w14:textId="71CC3991" w:rsidTr="00A63EA2">
        <w:trPr>
          <w:cantSplit/>
          <w:trHeight w:val="269"/>
        </w:trPr>
        <w:tc>
          <w:tcPr>
            <w:tcW w:w="788" w:type="pct"/>
          </w:tcPr>
          <w:p w14:paraId="566A6C53" w14:textId="7E64E303" w:rsidR="009C2781" w:rsidRPr="00053F22" w:rsidRDefault="009C2781" w:rsidP="00DE096B">
            <w:pPr>
              <w:pStyle w:val="ListParagraph"/>
              <w:numPr>
                <w:ilvl w:val="0"/>
                <w:numId w:val="18"/>
              </w:numPr>
              <w:rPr>
                <w:lang w:val="en-GB"/>
              </w:rPr>
            </w:pPr>
            <w:r w:rsidRPr="00053F22">
              <w:rPr>
                <w:lang w:val="en-GB"/>
              </w:rPr>
              <w:lastRenderedPageBreak/>
              <w:t>TalentAdore</w:t>
            </w:r>
          </w:p>
        </w:tc>
        <w:tc>
          <w:tcPr>
            <w:tcW w:w="900" w:type="pct"/>
          </w:tcPr>
          <w:p w14:paraId="4BCA9A12" w14:textId="15711798" w:rsidR="009C2781" w:rsidRPr="00053F22" w:rsidRDefault="009C2781" w:rsidP="00DE096B">
            <w:pPr>
              <w:rPr>
                <w:lang w:val="en-GB"/>
              </w:rPr>
            </w:pPr>
            <w:r w:rsidRPr="00053F22">
              <w:rPr>
                <w:lang w:val="en-GB"/>
              </w:rPr>
              <w:t xml:space="preserve">HR </w:t>
            </w:r>
          </w:p>
        </w:tc>
        <w:tc>
          <w:tcPr>
            <w:tcW w:w="1780" w:type="pct"/>
          </w:tcPr>
          <w:p w14:paraId="4E691A9D" w14:textId="2F423E11" w:rsidR="009C2781" w:rsidRPr="00053F22" w:rsidRDefault="001D5AED" w:rsidP="00DE096B">
            <w:pPr>
              <w:rPr>
                <w:lang w:val="en-GB"/>
              </w:rPr>
            </w:pPr>
            <w:r w:rsidRPr="00490839">
              <w:rPr>
                <w:b/>
                <w:bCs/>
                <w:lang w:val="en-GB"/>
              </w:rPr>
              <w:t>Purpose of processing</w:t>
            </w:r>
            <w:r>
              <w:rPr>
                <w:lang w:val="en-GB"/>
              </w:rPr>
              <w:t xml:space="preserve">: </w:t>
            </w:r>
            <w:r w:rsidR="009C2781" w:rsidRPr="00053F22">
              <w:rPr>
                <w:lang w:val="en-GB"/>
              </w:rPr>
              <w:t xml:space="preserve">A system for staff recruitment. The actual purpose of the service is not to process the Data Controller’s (JYU) personal data, but in connection with the maintenance and support services included in the agreement, the processor has access to the Data Controller’s personal data, for example in the context of troubleshooting or sorting out errors. </w:t>
            </w:r>
          </w:p>
          <w:p w14:paraId="6FD20536" w14:textId="77777777" w:rsidR="009C2781" w:rsidRDefault="009C2781" w:rsidP="00DE096B">
            <w:pPr>
              <w:rPr>
                <w:lang w:val="en-GB"/>
              </w:rPr>
            </w:pPr>
          </w:p>
          <w:p w14:paraId="6122E9FD" w14:textId="77777777" w:rsidR="001D5AED" w:rsidRPr="0029418D" w:rsidRDefault="001D5AED" w:rsidP="001D5AED">
            <w:pPr>
              <w:rPr>
                <w:b/>
                <w:bCs/>
                <w:lang w:val="en-GB"/>
              </w:rPr>
            </w:pPr>
            <w:r w:rsidRPr="009C2781">
              <w:rPr>
                <w:b/>
                <w:bCs/>
                <w:lang w:val="en-GB"/>
              </w:rPr>
              <w:t>Type of personal data and data subject categories</w:t>
            </w:r>
            <w:r>
              <w:rPr>
                <w:b/>
                <w:bCs/>
                <w:lang w:val="en-GB"/>
              </w:rPr>
              <w:t xml:space="preserve">: </w:t>
            </w:r>
          </w:p>
          <w:p w14:paraId="63D0DE09" w14:textId="621C48DB" w:rsidR="009C2781" w:rsidRPr="00053F22" w:rsidRDefault="00EC5875" w:rsidP="00DE096B">
            <w:pPr>
              <w:rPr>
                <w:lang w:val="en-GB"/>
              </w:rPr>
            </w:pPr>
            <w:r>
              <w:rPr>
                <w:lang w:val="en-GB"/>
              </w:rPr>
              <w:t>E.g., d</w:t>
            </w:r>
            <w:r w:rsidR="009C2781" w:rsidRPr="00053F22">
              <w:rPr>
                <w:lang w:val="en-GB"/>
              </w:rPr>
              <w:t>ata given by the applicant</w:t>
            </w:r>
            <w:r>
              <w:rPr>
                <w:lang w:val="en-GB"/>
              </w:rPr>
              <w:t>, log data</w:t>
            </w:r>
          </w:p>
          <w:p w14:paraId="36859049" w14:textId="0E7BEDB3" w:rsidR="009C2781" w:rsidRPr="00053F22" w:rsidRDefault="009C2781" w:rsidP="00DE096B">
            <w:pPr>
              <w:rPr>
                <w:lang w:val="en-GB"/>
              </w:rPr>
            </w:pPr>
          </w:p>
        </w:tc>
        <w:tc>
          <w:tcPr>
            <w:tcW w:w="1532" w:type="pct"/>
          </w:tcPr>
          <w:p w14:paraId="3CFD2200" w14:textId="4B21437F" w:rsidR="009C2781" w:rsidRPr="00053F22" w:rsidRDefault="009C2781" w:rsidP="00DE096B">
            <w:pPr>
              <w:rPr>
                <w:lang w:val="en-GB"/>
              </w:rPr>
            </w:pPr>
            <w:r w:rsidRPr="00053F22">
              <w:rPr>
                <w:lang w:val="en-GB"/>
              </w:rPr>
              <w:t>The processor of personal data is allowed to transfer personal data outside the ETA area only to such countries, territories</w:t>
            </w:r>
            <w:r>
              <w:rPr>
                <w:lang w:val="en-GB"/>
              </w:rPr>
              <w:t>,</w:t>
            </w:r>
            <w:r w:rsidRPr="00053F22">
              <w:rPr>
                <w:lang w:val="en-GB"/>
              </w:rPr>
              <w:t xml:space="preserve"> or international organisations that </w:t>
            </w:r>
            <w:r>
              <w:rPr>
                <w:lang w:val="en-GB"/>
              </w:rPr>
              <w:t>–</w:t>
            </w:r>
            <w:r w:rsidRPr="00053F22">
              <w:rPr>
                <w:lang w:val="en-GB"/>
              </w:rPr>
              <w:t xml:space="preserve"> according to the European Commission’s decision </w:t>
            </w:r>
            <w:r>
              <w:rPr>
                <w:lang w:val="en-GB"/>
              </w:rPr>
              <w:t>–</w:t>
            </w:r>
            <w:r w:rsidRPr="00053F22">
              <w:rPr>
                <w:lang w:val="en-GB"/>
              </w:rPr>
              <w:t xml:space="preserve"> ensure </w:t>
            </w:r>
            <w:r>
              <w:rPr>
                <w:lang w:val="en-GB"/>
              </w:rPr>
              <w:t xml:space="preserve">a </w:t>
            </w:r>
            <w:r w:rsidRPr="00053F22">
              <w:rPr>
                <w:lang w:val="en-GB"/>
              </w:rPr>
              <w:t xml:space="preserve">sufficient level of data protection. Here, the notion of transfer also covers cases where the data are located on a server in an ETA country but can be accessed from a third country. </w:t>
            </w:r>
          </w:p>
        </w:tc>
      </w:tr>
      <w:tr w:rsidR="0089317D" w:rsidRPr="00502BC9" w14:paraId="077D1E45" w14:textId="77777777" w:rsidTr="00A63EA2">
        <w:trPr>
          <w:cantSplit/>
          <w:trHeight w:val="269"/>
        </w:trPr>
        <w:tc>
          <w:tcPr>
            <w:tcW w:w="788" w:type="pct"/>
          </w:tcPr>
          <w:p w14:paraId="02729E3F" w14:textId="6DDB5DD3" w:rsidR="0089317D" w:rsidRPr="0089317D" w:rsidRDefault="0089317D" w:rsidP="0089317D">
            <w:pPr>
              <w:pStyle w:val="ListParagraph"/>
              <w:numPr>
                <w:ilvl w:val="0"/>
                <w:numId w:val="18"/>
              </w:numPr>
              <w:rPr>
                <w:lang w:val="fr-FR"/>
              </w:rPr>
            </w:pPr>
            <w:proofErr w:type="spellStart"/>
            <w:r w:rsidRPr="0089317D">
              <w:rPr>
                <w:lang w:val="fr-FR"/>
              </w:rPr>
              <w:t>Talentwise</w:t>
            </w:r>
            <w:proofErr w:type="spellEnd"/>
            <w:r w:rsidRPr="0089317D">
              <w:rPr>
                <w:lang w:val="fr-FR"/>
              </w:rPr>
              <w:t xml:space="preserve"> AB, Y-</w:t>
            </w:r>
            <w:proofErr w:type="spellStart"/>
            <w:r w:rsidRPr="0089317D">
              <w:rPr>
                <w:lang w:val="fr-FR"/>
              </w:rPr>
              <w:t>tunnus</w:t>
            </w:r>
            <w:proofErr w:type="spellEnd"/>
            <w:r w:rsidRPr="0089317D">
              <w:rPr>
                <w:lang w:val="fr-FR"/>
              </w:rPr>
              <w:t xml:space="preserve"> 556956-0351, </w:t>
            </w:r>
            <w:proofErr w:type="spellStart"/>
            <w:r w:rsidRPr="0089317D">
              <w:rPr>
                <w:lang w:val="fr-FR"/>
              </w:rPr>
              <w:t>Östra</w:t>
            </w:r>
            <w:proofErr w:type="spellEnd"/>
            <w:r w:rsidRPr="0089317D">
              <w:rPr>
                <w:lang w:val="fr-FR"/>
              </w:rPr>
              <w:t xml:space="preserve"> </w:t>
            </w:r>
            <w:proofErr w:type="spellStart"/>
            <w:r w:rsidRPr="0089317D">
              <w:rPr>
                <w:lang w:val="fr-FR"/>
              </w:rPr>
              <w:t>Larmgatan</w:t>
            </w:r>
            <w:proofErr w:type="spellEnd"/>
            <w:r w:rsidRPr="0089317D">
              <w:rPr>
                <w:lang w:val="fr-FR"/>
              </w:rPr>
              <w:t xml:space="preserve"> 13, SE-411 07 Göteborg</w:t>
            </w:r>
          </w:p>
          <w:p w14:paraId="79EB016C" w14:textId="77777777" w:rsidR="0089317D" w:rsidRPr="0089317D" w:rsidRDefault="0089317D" w:rsidP="0089317D">
            <w:pPr>
              <w:rPr>
                <w:lang w:val="fr-FR"/>
              </w:rPr>
            </w:pPr>
          </w:p>
        </w:tc>
        <w:tc>
          <w:tcPr>
            <w:tcW w:w="900" w:type="pct"/>
          </w:tcPr>
          <w:p w14:paraId="47A29401" w14:textId="06364FE3" w:rsidR="0089317D" w:rsidRPr="0089317D" w:rsidRDefault="0089317D" w:rsidP="00DE096B">
            <w:pPr>
              <w:rPr>
                <w:lang w:val="fr-FR"/>
              </w:rPr>
            </w:pPr>
            <w:r>
              <w:rPr>
                <w:lang w:val="fr-FR"/>
              </w:rPr>
              <w:t>HR</w:t>
            </w:r>
          </w:p>
        </w:tc>
        <w:tc>
          <w:tcPr>
            <w:tcW w:w="1780" w:type="pct"/>
          </w:tcPr>
          <w:p w14:paraId="59A53E09" w14:textId="77777777" w:rsidR="0089317D" w:rsidRPr="005E3F24" w:rsidRDefault="0089317D" w:rsidP="0089317D">
            <w:pPr>
              <w:rPr>
                <w:lang w:val="en-US"/>
              </w:rPr>
            </w:pPr>
            <w:r w:rsidRPr="005E3F24">
              <w:rPr>
                <w:lang w:val="en-US"/>
              </w:rPr>
              <w:t xml:space="preserve">The categories of data </w:t>
            </w:r>
            <w:proofErr w:type="gramStart"/>
            <w:r w:rsidRPr="005E3F24">
              <w:rPr>
                <w:lang w:val="en-US"/>
              </w:rPr>
              <w:t>subjects</w:t>
            </w:r>
            <w:proofErr w:type="gramEnd"/>
            <w:r w:rsidRPr="005E3F24">
              <w:rPr>
                <w:lang w:val="en-US"/>
              </w:rPr>
              <w:t xml:space="preserve"> whose data are processed by the processor. Applicants (job seekers) Referrers (referrers) Recruiters (</w:t>
            </w:r>
            <w:proofErr w:type="spellStart"/>
            <w:r w:rsidRPr="005E3F24">
              <w:rPr>
                <w:lang w:val="en-US"/>
              </w:rPr>
              <w:t>Refapp</w:t>
            </w:r>
            <w:proofErr w:type="spellEnd"/>
            <w:r w:rsidRPr="005E3F24">
              <w:rPr>
                <w:lang w:val="en-US"/>
              </w:rPr>
              <w:t xml:space="preserve"> users)</w:t>
            </w:r>
          </w:p>
          <w:p w14:paraId="1B483311" w14:textId="77777777" w:rsidR="0089317D" w:rsidRDefault="0089317D" w:rsidP="0089317D">
            <w:pPr>
              <w:rPr>
                <w:lang w:val="en-US"/>
              </w:rPr>
            </w:pPr>
          </w:p>
          <w:p w14:paraId="2E5AB854" w14:textId="3BD2A672" w:rsidR="0089317D" w:rsidRPr="005E3F24" w:rsidRDefault="0089317D" w:rsidP="0089317D">
            <w:pPr>
              <w:rPr>
                <w:lang w:val="en-US"/>
              </w:rPr>
            </w:pPr>
            <w:r w:rsidRPr="005E3F24">
              <w:rPr>
                <w:lang w:val="en-US"/>
              </w:rPr>
              <w:t>Data will be removed from the service after 6 months from the date of the recommendation review.</w:t>
            </w:r>
          </w:p>
          <w:p w14:paraId="4314C94C" w14:textId="77777777" w:rsidR="0089317D" w:rsidRPr="0089317D" w:rsidRDefault="0089317D" w:rsidP="00DE096B">
            <w:pPr>
              <w:rPr>
                <w:b/>
                <w:bCs/>
                <w:lang w:val="en-US"/>
              </w:rPr>
            </w:pPr>
          </w:p>
        </w:tc>
        <w:tc>
          <w:tcPr>
            <w:tcW w:w="1532" w:type="pct"/>
          </w:tcPr>
          <w:p w14:paraId="5912DAE7" w14:textId="77777777" w:rsidR="0089317D" w:rsidRPr="005E3F24" w:rsidRDefault="0089317D" w:rsidP="0089317D">
            <w:pPr>
              <w:rPr>
                <w:lang w:val="en-US"/>
              </w:rPr>
            </w:pPr>
            <w:r w:rsidRPr="005E3F24">
              <w:rPr>
                <w:lang w:val="en-US"/>
              </w:rPr>
              <w:t xml:space="preserve">Personal data are transferred outside the EEA if the user submits a request for support via email or the support system. The data will be transferred to the United States. Safeguards </w:t>
            </w:r>
            <w:r>
              <w:rPr>
                <w:lang w:val="en-US"/>
              </w:rPr>
              <w:t>used are Commission’s</w:t>
            </w:r>
            <w:r w:rsidRPr="005E3F24">
              <w:rPr>
                <w:lang w:val="en-US"/>
              </w:rPr>
              <w:t xml:space="preserve"> model contract clauses and companies are DPF certified</w:t>
            </w:r>
            <w:r>
              <w:rPr>
                <w:lang w:val="en-US"/>
              </w:rPr>
              <w:t>:</w:t>
            </w:r>
            <w:r w:rsidRPr="005E3F24">
              <w:rPr>
                <w:lang w:val="en-US"/>
              </w:rPr>
              <w:t xml:space="preserve"> Google Workspace and Zendesk Inc.</w:t>
            </w:r>
          </w:p>
          <w:p w14:paraId="0F7B47C6" w14:textId="77777777" w:rsidR="0089317D" w:rsidRPr="0089317D" w:rsidRDefault="0089317D" w:rsidP="00DE096B">
            <w:pPr>
              <w:rPr>
                <w:lang w:val="en-US"/>
              </w:rPr>
            </w:pPr>
          </w:p>
        </w:tc>
      </w:tr>
      <w:tr w:rsidR="009C2781" w:rsidRPr="00053F22" w14:paraId="218DEF1E" w14:textId="41CE776D" w:rsidTr="00A63EA2">
        <w:trPr>
          <w:cantSplit/>
          <w:trHeight w:val="269"/>
        </w:trPr>
        <w:tc>
          <w:tcPr>
            <w:tcW w:w="788" w:type="pct"/>
          </w:tcPr>
          <w:p w14:paraId="3D2BFCF2" w14:textId="28F8760F" w:rsidR="009C2781" w:rsidRPr="00053F22" w:rsidRDefault="009C2781" w:rsidP="00DE096B">
            <w:pPr>
              <w:pStyle w:val="ListParagraph"/>
              <w:numPr>
                <w:ilvl w:val="0"/>
                <w:numId w:val="18"/>
              </w:numPr>
              <w:rPr>
                <w:lang w:val="en-GB"/>
              </w:rPr>
            </w:pPr>
            <w:r w:rsidRPr="00053F22">
              <w:rPr>
                <w:lang w:val="en-GB"/>
              </w:rPr>
              <w:t>Thinking Portfolio Oy</w:t>
            </w:r>
          </w:p>
        </w:tc>
        <w:tc>
          <w:tcPr>
            <w:tcW w:w="900" w:type="pct"/>
          </w:tcPr>
          <w:p w14:paraId="5B93ADB9" w14:textId="348FCDD5" w:rsidR="009C2781" w:rsidRPr="00053F22" w:rsidRDefault="009C2781" w:rsidP="00DE096B">
            <w:pPr>
              <w:rPr>
                <w:lang w:val="en-GB"/>
              </w:rPr>
            </w:pPr>
            <w:r w:rsidRPr="00053F22">
              <w:rPr>
                <w:lang w:val="en-GB"/>
              </w:rPr>
              <w:t xml:space="preserve">Operational control </w:t>
            </w:r>
          </w:p>
        </w:tc>
        <w:tc>
          <w:tcPr>
            <w:tcW w:w="1780" w:type="pct"/>
          </w:tcPr>
          <w:p w14:paraId="1601AC1D" w14:textId="3B3F9B73" w:rsidR="009C2781" w:rsidRPr="00053F22" w:rsidRDefault="00E05965" w:rsidP="00DE096B">
            <w:pPr>
              <w:rPr>
                <w:lang w:val="en-GB"/>
              </w:rPr>
            </w:pPr>
            <w:r w:rsidRPr="00490839">
              <w:rPr>
                <w:b/>
                <w:bCs/>
                <w:lang w:val="en-GB"/>
              </w:rPr>
              <w:t>Purpose of processing</w:t>
            </w:r>
            <w:r>
              <w:rPr>
                <w:lang w:val="en-GB"/>
              </w:rPr>
              <w:t xml:space="preserve">: </w:t>
            </w:r>
            <w:r w:rsidR="009C2781" w:rsidRPr="00053F22">
              <w:rPr>
                <w:lang w:val="en-GB"/>
              </w:rPr>
              <w:t xml:space="preserve">Project portfolio planning, definition, prototype and technical parameter design. </w:t>
            </w:r>
          </w:p>
          <w:p w14:paraId="4E4758CA" w14:textId="77777777" w:rsidR="009C2781" w:rsidRPr="00053F22" w:rsidRDefault="009C2781" w:rsidP="00DE096B">
            <w:pPr>
              <w:rPr>
                <w:lang w:val="en-GB"/>
              </w:rPr>
            </w:pPr>
          </w:p>
          <w:p w14:paraId="0B6E4723" w14:textId="77777777" w:rsidR="00E05965" w:rsidRPr="0029418D" w:rsidRDefault="00E05965" w:rsidP="00E05965">
            <w:pPr>
              <w:rPr>
                <w:b/>
                <w:bCs/>
                <w:lang w:val="en-GB"/>
              </w:rPr>
            </w:pPr>
            <w:r w:rsidRPr="009C2781">
              <w:rPr>
                <w:b/>
                <w:bCs/>
                <w:lang w:val="en-GB"/>
              </w:rPr>
              <w:t>Type of personal data and data subject categories</w:t>
            </w:r>
            <w:r>
              <w:rPr>
                <w:b/>
                <w:bCs/>
                <w:lang w:val="en-GB"/>
              </w:rPr>
              <w:t xml:space="preserve">: </w:t>
            </w:r>
          </w:p>
          <w:p w14:paraId="7AFE70C2" w14:textId="3E4E07A3" w:rsidR="009C2781" w:rsidRPr="00053F22" w:rsidRDefault="009C2781" w:rsidP="00DE096B">
            <w:pPr>
              <w:rPr>
                <w:lang w:val="en-GB"/>
              </w:rPr>
            </w:pPr>
            <w:r w:rsidRPr="00053F22">
              <w:rPr>
                <w:lang w:val="en-GB"/>
              </w:rPr>
              <w:t>User data (login).</w:t>
            </w:r>
          </w:p>
          <w:p w14:paraId="3118CFD3" w14:textId="77777777" w:rsidR="009C2781" w:rsidRPr="00053F22" w:rsidRDefault="009C2781" w:rsidP="00DE096B">
            <w:pPr>
              <w:rPr>
                <w:lang w:val="en-GB"/>
              </w:rPr>
            </w:pPr>
          </w:p>
          <w:p w14:paraId="4B7C7BEE" w14:textId="5359E219" w:rsidR="009C2781" w:rsidRPr="00053F22" w:rsidRDefault="009C2781" w:rsidP="00DE096B">
            <w:pPr>
              <w:rPr>
                <w:lang w:val="en-GB"/>
              </w:rPr>
            </w:pPr>
            <w:r w:rsidRPr="00053F22">
              <w:rPr>
                <w:lang w:val="en-GB"/>
              </w:rPr>
              <w:t xml:space="preserve">In connection with maintenance and support services, the processor has access to the Data Controller’s personal data. </w:t>
            </w:r>
          </w:p>
        </w:tc>
        <w:tc>
          <w:tcPr>
            <w:tcW w:w="1532" w:type="pct"/>
          </w:tcPr>
          <w:p w14:paraId="01AB3E9E" w14:textId="238AA8D8" w:rsidR="009C2781" w:rsidRPr="00053F22" w:rsidRDefault="009C2781" w:rsidP="00DE096B">
            <w:pPr>
              <w:rPr>
                <w:lang w:val="en-GB"/>
              </w:rPr>
            </w:pPr>
            <w:r w:rsidRPr="00053F22">
              <w:rPr>
                <w:lang w:val="en-GB"/>
              </w:rPr>
              <w:t>Not transferred.</w:t>
            </w:r>
          </w:p>
        </w:tc>
      </w:tr>
      <w:tr w:rsidR="009C2781" w:rsidRPr="00502BC9" w14:paraId="711BAA52" w14:textId="2D48E99C" w:rsidTr="00A63EA2">
        <w:trPr>
          <w:cantSplit/>
          <w:trHeight w:val="269"/>
        </w:trPr>
        <w:tc>
          <w:tcPr>
            <w:tcW w:w="788" w:type="pct"/>
          </w:tcPr>
          <w:p w14:paraId="1267B992" w14:textId="77777777" w:rsidR="009C2781" w:rsidRPr="00053F22" w:rsidRDefault="009C2781" w:rsidP="00DE096B">
            <w:pPr>
              <w:pStyle w:val="ListParagraph"/>
              <w:numPr>
                <w:ilvl w:val="0"/>
                <w:numId w:val="18"/>
              </w:numPr>
              <w:rPr>
                <w:lang w:val="en-GB"/>
              </w:rPr>
            </w:pPr>
            <w:r w:rsidRPr="00053F22">
              <w:rPr>
                <w:lang w:val="en-GB"/>
              </w:rPr>
              <w:lastRenderedPageBreak/>
              <w:t>Turnitin</w:t>
            </w:r>
          </w:p>
        </w:tc>
        <w:tc>
          <w:tcPr>
            <w:tcW w:w="900" w:type="pct"/>
          </w:tcPr>
          <w:p w14:paraId="4713EDB4" w14:textId="0A5B441F" w:rsidR="009C2781" w:rsidRPr="00053F22" w:rsidRDefault="009C2781" w:rsidP="00DE096B">
            <w:pPr>
              <w:rPr>
                <w:lang w:val="en-GB"/>
              </w:rPr>
            </w:pPr>
            <w:r w:rsidRPr="00053F22">
              <w:rPr>
                <w:lang w:val="en-GB"/>
              </w:rPr>
              <w:t>Study administration</w:t>
            </w:r>
          </w:p>
        </w:tc>
        <w:tc>
          <w:tcPr>
            <w:tcW w:w="1780" w:type="pct"/>
          </w:tcPr>
          <w:p w14:paraId="72A6559A" w14:textId="77777777" w:rsidR="009C2781" w:rsidRDefault="00E05965" w:rsidP="00DE096B">
            <w:pPr>
              <w:rPr>
                <w:lang w:val="en-GB"/>
              </w:rPr>
            </w:pPr>
            <w:r w:rsidRPr="00490839">
              <w:rPr>
                <w:b/>
                <w:bCs/>
                <w:lang w:val="en-GB"/>
              </w:rPr>
              <w:t>Purpose of processing</w:t>
            </w:r>
            <w:r>
              <w:rPr>
                <w:lang w:val="en-GB"/>
              </w:rPr>
              <w:t xml:space="preserve">: </w:t>
            </w:r>
            <w:r w:rsidR="009C2781" w:rsidRPr="00053F22">
              <w:rPr>
                <w:lang w:val="en-GB"/>
              </w:rPr>
              <w:t>Plagiarism detection, checking the originality of study performance texts</w:t>
            </w:r>
            <w:r>
              <w:rPr>
                <w:lang w:val="en-GB"/>
              </w:rPr>
              <w:t>.</w:t>
            </w:r>
          </w:p>
          <w:p w14:paraId="0BAE04F1" w14:textId="77777777" w:rsidR="00E05965" w:rsidRDefault="00E05965" w:rsidP="00DE096B">
            <w:pPr>
              <w:rPr>
                <w:lang w:val="en-GB"/>
              </w:rPr>
            </w:pPr>
          </w:p>
          <w:p w14:paraId="3046DD86" w14:textId="224D8B67" w:rsidR="00E05965" w:rsidRPr="00E05965" w:rsidRDefault="00E05965" w:rsidP="00E05965">
            <w:pPr>
              <w:rPr>
                <w:b/>
                <w:bCs/>
                <w:lang w:val="en-GB"/>
              </w:rPr>
            </w:pPr>
            <w:r w:rsidRPr="009C2781">
              <w:rPr>
                <w:b/>
                <w:bCs/>
                <w:lang w:val="en-GB"/>
              </w:rPr>
              <w:t>Type of personal data and data subject categories</w:t>
            </w:r>
            <w:r>
              <w:rPr>
                <w:b/>
                <w:bCs/>
                <w:lang w:val="en-GB"/>
              </w:rPr>
              <w:t xml:space="preserve">: </w:t>
            </w:r>
            <w:r w:rsidR="00EC5875" w:rsidRPr="00EC5875">
              <w:rPr>
                <w:lang w:val="en-GB"/>
              </w:rPr>
              <w:t>contact details</w:t>
            </w:r>
            <w:r w:rsidRPr="00EC5875">
              <w:rPr>
                <w:lang w:val="en-GB"/>
              </w:rPr>
              <w:t>,</w:t>
            </w:r>
            <w:r w:rsidRPr="00E05965">
              <w:rPr>
                <w:lang w:val="en-GB"/>
              </w:rPr>
              <w:t xml:space="preserve"> texts and comments.</w:t>
            </w:r>
          </w:p>
        </w:tc>
        <w:tc>
          <w:tcPr>
            <w:tcW w:w="1532" w:type="pct"/>
          </w:tcPr>
          <w:p w14:paraId="29AD1C19" w14:textId="123B2F27" w:rsidR="009C2781" w:rsidRPr="00053F22" w:rsidRDefault="009C2781" w:rsidP="00DE096B">
            <w:pPr>
              <w:rPr>
                <w:lang w:val="en-GB"/>
              </w:rPr>
            </w:pPr>
            <w:r w:rsidRPr="00053F22">
              <w:rPr>
                <w:lang w:val="en-GB"/>
              </w:rPr>
              <w:t>Personal data are transferred to the United States, protected with model contract clauses available from JYU Registry Office.</w:t>
            </w:r>
          </w:p>
        </w:tc>
      </w:tr>
      <w:tr w:rsidR="004831DF" w:rsidRPr="004831DF" w14:paraId="04337125" w14:textId="77777777" w:rsidTr="00A63EA2">
        <w:trPr>
          <w:cantSplit/>
          <w:trHeight w:val="269"/>
        </w:trPr>
        <w:tc>
          <w:tcPr>
            <w:tcW w:w="788" w:type="pct"/>
          </w:tcPr>
          <w:p w14:paraId="41F05F43" w14:textId="39CD0AF3" w:rsidR="004831DF" w:rsidRPr="004831DF" w:rsidRDefault="004831DF" w:rsidP="00DE096B">
            <w:pPr>
              <w:pStyle w:val="ListParagraph"/>
              <w:numPr>
                <w:ilvl w:val="0"/>
                <w:numId w:val="18"/>
              </w:numPr>
            </w:pPr>
            <w:proofErr w:type="spellStart"/>
            <w:r w:rsidRPr="00A47865">
              <w:rPr>
                <w:i/>
                <w:iCs/>
              </w:rPr>
              <w:t>t</w:t>
            </w:r>
            <w:r w:rsidRPr="00A47865">
              <w:t>woday</w:t>
            </w:r>
            <w:proofErr w:type="spellEnd"/>
            <w:r w:rsidRPr="00A47865">
              <w:t xml:space="preserve"> Oy, Keskuskatu 3, 00100 Helsinki, Y-tunnus: </w:t>
            </w:r>
            <w:proofErr w:type="gramStart"/>
            <w:r w:rsidRPr="00A47865">
              <w:t>1988069-3</w:t>
            </w:r>
            <w:proofErr w:type="gramEnd"/>
          </w:p>
        </w:tc>
        <w:tc>
          <w:tcPr>
            <w:tcW w:w="900" w:type="pct"/>
          </w:tcPr>
          <w:p w14:paraId="3D836DB3" w14:textId="7B6A8313" w:rsidR="004831DF" w:rsidRPr="004831DF" w:rsidRDefault="004831DF" w:rsidP="00DE096B">
            <w:r>
              <w:t xml:space="preserve">AI </w:t>
            </w:r>
            <w:proofErr w:type="spellStart"/>
            <w:r>
              <w:t>agent</w:t>
            </w:r>
            <w:proofErr w:type="spellEnd"/>
          </w:p>
        </w:tc>
        <w:tc>
          <w:tcPr>
            <w:tcW w:w="1780" w:type="pct"/>
          </w:tcPr>
          <w:p w14:paraId="086133FE" w14:textId="77777777" w:rsidR="004831DF" w:rsidRPr="004831DF" w:rsidRDefault="004831DF" w:rsidP="004831DF">
            <w:pPr>
              <w:rPr>
                <w:lang w:val="en-US"/>
              </w:rPr>
            </w:pPr>
            <w:r w:rsidRPr="004831DF">
              <w:rPr>
                <w:lang w:val="en-US"/>
              </w:rPr>
              <w:t>The registered groups whose personal data is processed consist of JYU's customers, employees, students, and stakeholders.</w:t>
            </w:r>
          </w:p>
          <w:p w14:paraId="76143621" w14:textId="14145BFC" w:rsidR="004831DF" w:rsidRPr="004831DF" w:rsidRDefault="004831DF" w:rsidP="004831DF">
            <w:pPr>
              <w:rPr>
                <w:b/>
                <w:bCs/>
                <w:lang w:val="en-US"/>
              </w:rPr>
            </w:pPr>
            <w:r w:rsidRPr="004831DF">
              <w:rPr>
                <w:lang w:val="en-US"/>
              </w:rPr>
              <w:t xml:space="preserve">The personal data processed by </w:t>
            </w:r>
            <w:proofErr w:type="spellStart"/>
            <w:r w:rsidRPr="004831DF">
              <w:rPr>
                <w:lang w:val="en-US"/>
              </w:rPr>
              <w:t>Twoday</w:t>
            </w:r>
            <w:proofErr w:type="spellEnd"/>
            <w:r w:rsidRPr="004831DF">
              <w:rPr>
                <w:lang w:val="en-US"/>
              </w:rPr>
              <w:t xml:space="preserve"> consists of personal data that is processed in connection with the Services (as defined by Open AI or Azure with the term “Input”).</w:t>
            </w:r>
          </w:p>
        </w:tc>
        <w:tc>
          <w:tcPr>
            <w:tcW w:w="1532" w:type="pct"/>
          </w:tcPr>
          <w:p w14:paraId="006D827C" w14:textId="496090F0" w:rsidR="004831DF" w:rsidRPr="004831DF" w:rsidRDefault="004831DF" w:rsidP="00DE096B">
            <w:pPr>
              <w:rPr>
                <w:lang w:val="en-US"/>
              </w:rPr>
            </w:pPr>
            <w:r>
              <w:rPr>
                <w:lang w:val="en-US"/>
              </w:rPr>
              <w:t>Not transferred.</w:t>
            </w:r>
          </w:p>
        </w:tc>
      </w:tr>
      <w:tr w:rsidR="009C2781" w:rsidRPr="00502BC9" w14:paraId="2A067BCE" w14:textId="0DC83D31" w:rsidTr="00A63EA2">
        <w:trPr>
          <w:trHeight w:val="269"/>
        </w:trPr>
        <w:tc>
          <w:tcPr>
            <w:tcW w:w="788" w:type="pct"/>
          </w:tcPr>
          <w:p w14:paraId="5A941BE7" w14:textId="6C64BA9D" w:rsidR="009C2781" w:rsidRPr="00053F22" w:rsidRDefault="009C2781" w:rsidP="00DE096B">
            <w:pPr>
              <w:pStyle w:val="ListParagraph"/>
              <w:numPr>
                <w:ilvl w:val="0"/>
                <w:numId w:val="18"/>
              </w:numPr>
              <w:rPr>
                <w:lang w:val="en-GB"/>
              </w:rPr>
            </w:pPr>
            <w:r w:rsidRPr="00053F22">
              <w:rPr>
                <w:lang w:val="en-GB"/>
              </w:rPr>
              <w:t>Visma InSchool software Kurre and Wilma Visma Community Oy</w:t>
            </w:r>
          </w:p>
        </w:tc>
        <w:tc>
          <w:tcPr>
            <w:tcW w:w="900" w:type="pct"/>
          </w:tcPr>
          <w:p w14:paraId="00EEA08E" w14:textId="3E568EA1" w:rsidR="009C2781" w:rsidRPr="00053F22" w:rsidRDefault="009C2781" w:rsidP="00DE096B">
            <w:pPr>
              <w:rPr>
                <w:lang w:val="en-GB"/>
              </w:rPr>
            </w:pPr>
            <w:r w:rsidRPr="00053F22">
              <w:rPr>
                <w:lang w:val="en-GB"/>
              </w:rPr>
              <w:t>Student administration</w:t>
            </w:r>
          </w:p>
        </w:tc>
        <w:tc>
          <w:tcPr>
            <w:tcW w:w="1780" w:type="pct"/>
          </w:tcPr>
          <w:p w14:paraId="7EFF63D3" w14:textId="704B284F" w:rsidR="009C2781" w:rsidRPr="00053F22" w:rsidRDefault="00E05965" w:rsidP="00DE096B">
            <w:pPr>
              <w:rPr>
                <w:lang w:val="en-GB"/>
              </w:rPr>
            </w:pPr>
            <w:r w:rsidRPr="00490839">
              <w:rPr>
                <w:b/>
                <w:bCs/>
                <w:lang w:val="en-GB"/>
              </w:rPr>
              <w:t>Purpose of processing</w:t>
            </w:r>
            <w:r>
              <w:rPr>
                <w:lang w:val="en-GB"/>
              </w:rPr>
              <w:t xml:space="preserve">: </w:t>
            </w:r>
            <w:r w:rsidR="009C2781" w:rsidRPr="00053F22">
              <w:rPr>
                <w:lang w:val="en-GB"/>
              </w:rPr>
              <w:t>Teacher Training School pupils</w:t>
            </w:r>
          </w:p>
        </w:tc>
        <w:tc>
          <w:tcPr>
            <w:tcW w:w="1532" w:type="pct"/>
          </w:tcPr>
          <w:p w14:paraId="26A59FF9" w14:textId="49C56188" w:rsidR="009C2781" w:rsidRPr="00053F22" w:rsidRDefault="009C2781" w:rsidP="00DE096B">
            <w:pPr>
              <w:rPr>
                <w:lang w:val="en-GB"/>
              </w:rPr>
            </w:pPr>
            <w:r w:rsidRPr="00053F22">
              <w:rPr>
                <w:lang w:val="en-GB"/>
              </w:rPr>
              <w:t>Not transferred.</w:t>
            </w:r>
          </w:p>
          <w:p w14:paraId="3AF6D2EC" w14:textId="21E27635" w:rsidR="009C2781" w:rsidRPr="00053F22" w:rsidRDefault="009C2781" w:rsidP="00DE096B">
            <w:pPr>
              <w:rPr>
                <w:lang w:val="en-GB"/>
              </w:rPr>
            </w:pPr>
            <w:r w:rsidRPr="00053F22">
              <w:rPr>
                <w:lang w:val="en-GB"/>
              </w:rPr>
              <w:t xml:space="preserve">Privacy protection clause followed by the processor: </w:t>
            </w:r>
            <w:hyperlink r:id="rId24" w:tgtFrame="_blank" w:history="1">
              <w:r w:rsidRPr="00053F22">
                <w:rPr>
                  <w:rStyle w:val="Hyperlink"/>
                  <w:lang w:val="en-GB"/>
                </w:rPr>
                <w:t>https://www.visma.fi/yksityisyydensuoja/etusivu/</w:t>
              </w:r>
            </w:hyperlink>
          </w:p>
        </w:tc>
      </w:tr>
      <w:tr w:rsidR="009C2781" w:rsidRPr="00502BC9" w14:paraId="756C872A" w14:textId="171CA421" w:rsidTr="00A63EA2">
        <w:trPr>
          <w:trHeight w:val="269"/>
        </w:trPr>
        <w:tc>
          <w:tcPr>
            <w:tcW w:w="788" w:type="pct"/>
          </w:tcPr>
          <w:p w14:paraId="5670A9E5" w14:textId="77777777" w:rsidR="009C2781" w:rsidRPr="00053F22" w:rsidRDefault="009C2781" w:rsidP="00DE096B">
            <w:pPr>
              <w:pStyle w:val="ListParagraph"/>
              <w:numPr>
                <w:ilvl w:val="0"/>
                <w:numId w:val="18"/>
              </w:numPr>
              <w:rPr>
                <w:lang w:val="en-GB"/>
              </w:rPr>
            </w:pPr>
            <w:proofErr w:type="spellStart"/>
            <w:r w:rsidRPr="00053F22">
              <w:rPr>
                <w:lang w:val="en-GB"/>
              </w:rPr>
              <w:t>Wistec</w:t>
            </w:r>
            <w:proofErr w:type="spellEnd"/>
            <w:r w:rsidRPr="00053F22">
              <w:rPr>
                <w:lang w:val="en-GB"/>
              </w:rPr>
              <w:t xml:space="preserve"> online </w:t>
            </w:r>
            <w:proofErr w:type="spellStart"/>
            <w:r w:rsidRPr="00053F22">
              <w:rPr>
                <w:lang w:val="en-GB"/>
              </w:rPr>
              <w:t>Wistec</w:t>
            </w:r>
            <w:proofErr w:type="spellEnd"/>
            <w:r w:rsidRPr="00053F22">
              <w:rPr>
                <w:lang w:val="en-GB"/>
              </w:rPr>
              <w:t xml:space="preserve"> Training Oy</w:t>
            </w:r>
          </w:p>
        </w:tc>
        <w:tc>
          <w:tcPr>
            <w:tcW w:w="900" w:type="pct"/>
          </w:tcPr>
          <w:p w14:paraId="0E0BE28A" w14:textId="0DBE8335" w:rsidR="009C2781" w:rsidRPr="00053F22" w:rsidRDefault="009C2781" w:rsidP="00DE096B">
            <w:pPr>
              <w:rPr>
                <w:lang w:val="en-GB"/>
              </w:rPr>
            </w:pPr>
            <w:r w:rsidRPr="00053F22">
              <w:rPr>
                <w:lang w:val="en-GB"/>
              </w:rPr>
              <w:t>Staff training</w:t>
            </w:r>
          </w:p>
        </w:tc>
        <w:tc>
          <w:tcPr>
            <w:tcW w:w="1780" w:type="pct"/>
          </w:tcPr>
          <w:p w14:paraId="3B329580" w14:textId="3E23F831" w:rsidR="009C2781" w:rsidRPr="00053F22" w:rsidRDefault="00E05965" w:rsidP="00DE096B">
            <w:pPr>
              <w:rPr>
                <w:lang w:val="en-GB"/>
              </w:rPr>
            </w:pPr>
            <w:r w:rsidRPr="00490839">
              <w:rPr>
                <w:b/>
                <w:bCs/>
                <w:lang w:val="en-GB"/>
              </w:rPr>
              <w:t>Purpose of processing</w:t>
            </w:r>
            <w:r>
              <w:rPr>
                <w:lang w:val="en-GB"/>
              </w:rPr>
              <w:t xml:space="preserve">: </w:t>
            </w:r>
            <w:r w:rsidR="009C2781" w:rsidRPr="00053F22">
              <w:rPr>
                <w:lang w:val="en-GB"/>
              </w:rPr>
              <w:t xml:space="preserve">O365 services and Teams trainings. </w:t>
            </w:r>
            <w:proofErr w:type="spellStart"/>
            <w:r w:rsidR="009C2781" w:rsidRPr="00053F22">
              <w:rPr>
                <w:lang w:val="en-GB"/>
              </w:rPr>
              <w:t>Wistec</w:t>
            </w:r>
            <w:proofErr w:type="spellEnd"/>
            <w:r w:rsidR="009C2781" w:rsidRPr="00053F22">
              <w:rPr>
                <w:lang w:val="en-GB"/>
              </w:rPr>
              <w:t xml:space="preserve"> Training Oy (</w:t>
            </w:r>
            <w:proofErr w:type="spellStart"/>
            <w:r w:rsidR="009C2781" w:rsidRPr="00053F22">
              <w:rPr>
                <w:lang w:val="en-GB"/>
              </w:rPr>
              <w:t>Wistec</w:t>
            </w:r>
            <w:proofErr w:type="spellEnd"/>
            <w:r w:rsidR="009C2781" w:rsidRPr="00053F22">
              <w:rPr>
                <w:lang w:val="en-GB"/>
              </w:rPr>
              <w:t xml:space="preserve">) processes your user </w:t>
            </w:r>
            <w:r w:rsidR="00EC5875">
              <w:rPr>
                <w:lang w:val="en-GB"/>
              </w:rPr>
              <w:t>information.</w:t>
            </w:r>
            <w:r w:rsidR="009C2781" w:rsidRPr="00053F22">
              <w:rPr>
                <w:lang w:val="en-GB"/>
              </w:rPr>
              <w:t xml:space="preserve"> The reported information is used for monitoring the utili</w:t>
            </w:r>
            <w:r w:rsidR="009C2781">
              <w:rPr>
                <w:lang w:val="en-GB"/>
              </w:rPr>
              <w:t>s</w:t>
            </w:r>
            <w:r w:rsidR="009C2781" w:rsidRPr="00053F22">
              <w:rPr>
                <w:lang w:val="en-GB"/>
              </w:rPr>
              <w:t>ation rate of the service.</w:t>
            </w:r>
            <w:r w:rsidR="009C2781" w:rsidRPr="00053F22">
              <w:rPr>
                <w:lang w:val="en-GB"/>
              </w:rPr>
              <w:br/>
            </w:r>
            <w:r w:rsidR="009C2781" w:rsidRPr="00053F22">
              <w:rPr>
                <w:lang w:val="en-GB"/>
              </w:rPr>
              <w:br/>
              <w:t xml:space="preserve">You can find additional information from </w:t>
            </w:r>
            <w:proofErr w:type="spellStart"/>
            <w:r w:rsidR="009C2781" w:rsidRPr="00053F22">
              <w:rPr>
                <w:lang w:val="en-GB"/>
              </w:rPr>
              <w:t>Wistec’s</w:t>
            </w:r>
            <w:proofErr w:type="spellEnd"/>
            <w:r w:rsidR="009C2781" w:rsidRPr="00053F22">
              <w:rPr>
                <w:lang w:val="en-GB"/>
              </w:rPr>
              <w:t xml:space="preserve"> </w:t>
            </w:r>
            <w:hyperlink r:id="rId25" w:tgtFrame="_blank" w:tooltip="Wistecin tietosuojaseloste" w:history="1">
              <w:r w:rsidR="009C2781" w:rsidRPr="00053F22">
                <w:rPr>
                  <w:rStyle w:val="Hyperlink"/>
                  <w:lang w:val="en-GB"/>
                </w:rPr>
                <w:t xml:space="preserve">’privacy notice and also from JYU privacy notices for staff and students </w:t>
              </w:r>
            </w:hyperlink>
            <w:r w:rsidR="009C2781" w:rsidRPr="00053F22">
              <w:rPr>
                <w:lang w:val="en-GB"/>
              </w:rPr>
              <w:t>.</w:t>
            </w:r>
          </w:p>
        </w:tc>
        <w:tc>
          <w:tcPr>
            <w:tcW w:w="1532" w:type="pct"/>
          </w:tcPr>
          <w:p w14:paraId="1E9E2B24" w14:textId="1F33E4BF" w:rsidR="009C2781" w:rsidRPr="00053F22" w:rsidRDefault="009C2781" w:rsidP="00DE096B">
            <w:pPr>
              <w:rPr>
                <w:lang w:val="en-GB"/>
              </w:rPr>
            </w:pPr>
            <w:r w:rsidRPr="00053F22">
              <w:rPr>
                <w:lang w:val="en-GB"/>
              </w:rPr>
              <w:t xml:space="preserve">Not transferred. The University does not use a service where the service provider would communicate directly to the staff (Mailchimp service), neither does JYU order any surveys that would use the Survey Monkey service. </w:t>
            </w:r>
          </w:p>
          <w:p w14:paraId="34E9BD2D" w14:textId="77777777" w:rsidR="009C2781" w:rsidRPr="00053F22" w:rsidRDefault="009C2781" w:rsidP="00DE096B">
            <w:pPr>
              <w:rPr>
                <w:lang w:val="en-GB"/>
              </w:rPr>
            </w:pPr>
          </w:p>
          <w:p w14:paraId="060B2A90" w14:textId="77777777" w:rsidR="009C2781" w:rsidRPr="00053F22" w:rsidRDefault="009C2781" w:rsidP="00DE096B">
            <w:pPr>
              <w:rPr>
                <w:lang w:val="en-GB"/>
              </w:rPr>
            </w:pPr>
          </w:p>
        </w:tc>
      </w:tr>
      <w:tr w:rsidR="009C2781" w:rsidRPr="00502BC9" w14:paraId="3DEA0A97" w14:textId="371A6A72" w:rsidTr="00A63EA2">
        <w:trPr>
          <w:cantSplit/>
          <w:trHeight w:val="269"/>
        </w:trPr>
        <w:tc>
          <w:tcPr>
            <w:tcW w:w="788" w:type="pct"/>
          </w:tcPr>
          <w:p w14:paraId="5F8A4094" w14:textId="77777777" w:rsidR="009C2781" w:rsidRPr="00053F22" w:rsidRDefault="009C2781" w:rsidP="00DE096B">
            <w:pPr>
              <w:pStyle w:val="ListParagraph"/>
              <w:numPr>
                <w:ilvl w:val="0"/>
                <w:numId w:val="18"/>
              </w:numPr>
              <w:rPr>
                <w:lang w:val="en-GB"/>
              </w:rPr>
            </w:pPr>
            <w:proofErr w:type="spellStart"/>
            <w:r w:rsidRPr="00053F22">
              <w:rPr>
                <w:lang w:val="en-GB"/>
              </w:rPr>
              <w:lastRenderedPageBreak/>
              <w:t>Plandisc</w:t>
            </w:r>
            <w:proofErr w:type="spellEnd"/>
            <w:r w:rsidRPr="00053F22">
              <w:rPr>
                <w:lang w:val="en-GB"/>
              </w:rPr>
              <w:t xml:space="preserve">, </w:t>
            </w:r>
            <w:proofErr w:type="spellStart"/>
            <w:r w:rsidRPr="00053F22">
              <w:rPr>
                <w:lang w:val="en-GB"/>
              </w:rPr>
              <w:t>Plandisc</w:t>
            </w:r>
            <w:proofErr w:type="spellEnd"/>
            <w:r w:rsidRPr="00053F22">
              <w:rPr>
                <w:lang w:val="en-GB"/>
              </w:rPr>
              <w:t xml:space="preserve"> </w:t>
            </w:r>
            <w:proofErr w:type="spellStart"/>
            <w:r w:rsidRPr="00053F22">
              <w:rPr>
                <w:lang w:val="en-GB"/>
              </w:rPr>
              <w:t>ApS</w:t>
            </w:r>
            <w:proofErr w:type="spellEnd"/>
            <w:r w:rsidRPr="00053F22">
              <w:rPr>
                <w:lang w:val="en-GB"/>
              </w:rPr>
              <w:t xml:space="preserve">, </w:t>
            </w:r>
            <w:proofErr w:type="spellStart"/>
            <w:r w:rsidRPr="00053F22">
              <w:rPr>
                <w:lang w:val="en-GB"/>
              </w:rPr>
              <w:t>Grimhøjvej</w:t>
            </w:r>
            <w:proofErr w:type="spellEnd"/>
            <w:r w:rsidRPr="00053F22">
              <w:rPr>
                <w:lang w:val="en-GB"/>
              </w:rPr>
              <w:t xml:space="preserve"> 6, DK-8220 Brabrand, Denmark, Central Business Reg. No. 37204854</w:t>
            </w:r>
          </w:p>
        </w:tc>
        <w:tc>
          <w:tcPr>
            <w:tcW w:w="900" w:type="pct"/>
          </w:tcPr>
          <w:p w14:paraId="56A7D808" w14:textId="5C360443" w:rsidR="009C2781" w:rsidRPr="00053F22" w:rsidRDefault="009C2781" w:rsidP="00DE096B">
            <w:pPr>
              <w:rPr>
                <w:lang w:val="en-GB"/>
              </w:rPr>
            </w:pPr>
            <w:r w:rsidRPr="00053F22">
              <w:rPr>
                <w:lang w:val="en-GB"/>
              </w:rPr>
              <w:t>A digital tool</w:t>
            </w:r>
          </w:p>
        </w:tc>
        <w:tc>
          <w:tcPr>
            <w:tcW w:w="1780" w:type="pct"/>
          </w:tcPr>
          <w:p w14:paraId="2F8B17F7" w14:textId="77777777" w:rsidR="009C2781" w:rsidRDefault="00E05965" w:rsidP="00DE096B">
            <w:pPr>
              <w:rPr>
                <w:lang w:val="en-GB"/>
              </w:rPr>
            </w:pPr>
            <w:r w:rsidRPr="00490839">
              <w:rPr>
                <w:b/>
                <w:bCs/>
                <w:lang w:val="en-GB"/>
              </w:rPr>
              <w:t>Purpose of processing</w:t>
            </w:r>
            <w:r>
              <w:rPr>
                <w:lang w:val="en-GB"/>
              </w:rPr>
              <w:t xml:space="preserve">: </w:t>
            </w:r>
            <w:proofErr w:type="spellStart"/>
            <w:r w:rsidR="009C2781" w:rsidRPr="00053F22">
              <w:rPr>
                <w:lang w:val="en-GB"/>
              </w:rPr>
              <w:t>Plandisc</w:t>
            </w:r>
            <w:proofErr w:type="spellEnd"/>
            <w:r w:rsidR="009C2781" w:rsidRPr="00053F22">
              <w:rPr>
                <w:lang w:val="en-GB"/>
              </w:rPr>
              <w:t xml:space="preserve"> is a tool for designing </w:t>
            </w:r>
            <w:r w:rsidR="009C2781">
              <w:rPr>
                <w:lang w:val="en-GB"/>
              </w:rPr>
              <w:t>circular</w:t>
            </w:r>
            <w:r w:rsidR="009C2781" w:rsidRPr="00053F22">
              <w:rPr>
                <w:lang w:val="en-GB"/>
              </w:rPr>
              <w:t xml:space="preserve"> calendars.</w:t>
            </w:r>
          </w:p>
          <w:p w14:paraId="0D022FF6" w14:textId="77777777" w:rsidR="00E05965" w:rsidRDefault="00E05965" w:rsidP="00DE096B">
            <w:pPr>
              <w:rPr>
                <w:lang w:val="en-GB"/>
              </w:rPr>
            </w:pPr>
          </w:p>
          <w:p w14:paraId="27F6A0FF" w14:textId="77777777" w:rsidR="00E05965" w:rsidRPr="0029418D" w:rsidRDefault="00E05965" w:rsidP="00E05965">
            <w:pPr>
              <w:rPr>
                <w:b/>
                <w:bCs/>
                <w:lang w:val="en-GB"/>
              </w:rPr>
            </w:pPr>
            <w:r w:rsidRPr="009C2781">
              <w:rPr>
                <w:b/>
                <w:bCs/>
                <w:lang w:val="en-GB"/>
              </w:rPr>
              <w:t>Type of personal data and data subject categories</w:t>
            </w:r>
            <w:r>
              <w:rPr>
                <w:b/>
                <w:bCs/>
                <w:lang w:val="en-GB"/>
              </w:rPr>
              <w:t xml:space="preserve">: </w:t>
            </w:r>
          </w:p>
          <w:p w14:paraId="3B8B2C0E" w14:textId="77777777" w:rsidR="00E05965" w:rsidRPr="00053F22" w:rsidRDefault="00E05965" w:rsidP="00E05965">
            <w:pPr>
              <w:rPr>
                <w:lang w:val="en-GB"/>
              </w:rPr>
            </w:pPr>
            <w:r w:rsidRPr="00053F22">
              <w:rPr>
                <w:lang w:val="en-GB"/>
              </w:rPr>
              <w:t>User data (login).</w:t>
            </w:r>
          </w:p>
          <w:p w14:paraId="55DC6460" w14:textId="235B2C0B" w:rsidR="00E05965" w:rsidRPr="00053F22" w:rsidRDefault="00E05965" w:rsidP="00DE096B">
            <w:pPr>
              <w:rPr>
                <w:lang w:val="en-GB"/>
              </w:rPr>
            </w:pPr>
          </w:p>
        </w:tc>
        <w:tc>
          <w:tcPr>
            <w:tcW w:w="1532" w:type="pct"/>
          </w:tcPr>
          <w:p w14:paraId="0303A553" w14:textId="763C2814" w:rsidR="009C2781" w:rsidRPr="00053F22" w:rsidRDefault="009C2781" w:rsidP="00DE096B">
            <w:pPr>
              <w:rPr>
                <w:lang w:val="en-GB"/>
              </w:rPr>
            </w:pPr>
            <w:r w:rsidRPr="00053F22">
              <w:rPr>
                <w:lang w:val="en-GB"/>
              </w:rPr>
              <w:t>We are not aware that personal data would be transferred.</w:t>
            </w:r>
          </w:p>
        </w:tc>
      </w:tr>
      <w:tr w:rsidR="009C2781" w:rsidRPr="00053F22" w14:paraId="2F99D814" w14:textId="3D7B9E4C" w:rsidTr="00A63EA2">
        <w:trPr>
          <w:cantSplit/>
          <w:trHeight w:val="269"/>
        </w:trPr>
        <w:tc>
          <w:tcPr>
            <w:tcW w:w="788" w:type="pct"/>
          </w:tcPr>
          <w:p w14:paraId="2E4F4848" w14:textId="174A2634" w:rsidR="009C2781" w:rsidRPr="00053F22" w:rsidRDefault="009C2781" w:rsidP="00DE096B">
            <w:pPr>
              <w:pStyle w:val="ListParagraph"/>
              <w:numPr>
                <w:ilvl w:val="0"/>
                <w:numId w:val="18"/>
              </w:numPr>
              <w:rPr>
                <w:lang w:val="en-GB"/>
              </w:rPr>
            </w:pPr>
            <w:proofErr w:type="spellStart"/>
            <w:r w:rsidRPr="00053F22">
              <w:rPr>
                <w:rFonts w:ascii="Calibri" w:hAnsi="Calibri" w:cs="Calibri"/>
                <w:color w:val="444444"/>
                <w:shd w:val="clear" w:color="auto" w:fill="FFFFFF"/>
                <w:lang w:val="en-GB"/>
              </w:rPr>
              <w:lastRenderedPageBreak/>
              <w:t>Qreform</w:t>
            </w:r>
            <w:proofErr w:type="spellEnd"/>
            <w:r w:rsidRPr="00053F22">
              <w:rPr>
                <w:rFonts w:ascii="Calibri" w:hAnsi="Calibri" w:cs="Calibri"/>
                <w:color w:val="444444"/>
                <w:shd w:val="clear" w:color="auto" w:fill="FFFFFF"/>
                <w:lang w:val="en-GB"/>
              </w:rPr>
              <w:t xml:space="preserve"> Rego</w:t>
            </w:r>
          </w:p>
        </w:tc>
        <w:tc>
          <w:tcPr>
            <w:tcW w:w="900" w:type="pct"/>
          </w:tcPr>
          <w:p w14:paraId="3294C939" w14:textId="1EA02034" w:rsidR="009C2781" w:rsidRPr="00053F22" w:rsidRDefault="009C2781" w:rsidP="00DE096B">
            <w:pPr>
              <w:rPr>
                <w:lang w:val="en-GB"/>
              </w:rPr>
            </w:pPr>
            <w:r w:rsidRPr="00053F22">
              <w:rPr>
                <w:lang w:val="en-GB"/>
              </w:rPr>
              <w:t>A tool for the University’s overall risk management and educational control</w:t>
            </w:r>
          </w:p>
        </w:tc>
        <w:tc>
          <w:tcPr>
            <w:tcW w:w="1780" w:type="pct"/>
          </w:tcPr>
          <w:p w14:paraId="04C572AD" w14:textId="12319270" w:rsidR="009C2781" w:rsidRPr="00053F22" w:rsidRDefault="009C2781" w:rsidP="00DE096B">
            <w:pPr>
              <w:rPr>
                <w:lang w:val="en-GB"/>
              </w:rPr>
            </w:pPr>
            <w:r w:rsidRPr="00053F22">
              <w:rPr>
                <w:lang w:val="en-GB"/>
              </w:rPr>
              <w:t xml:space="preserve">Rego offers effective solutions for the following domains: </w:t>
            </w:r>
          </w:p>
          <w:p w14:paraId="25CD0FF2" w14:textId="0D0FF7D8" w:rsidR="009C2781" w:rsidRPr="00053F22" w:rsidRDefault="009C2781" w:rsidP="00DE096B">
            <w:pPr>
              <w:rPr>
                <w:lang w:val="en-GB"/>
              </w:rPr>
            </w:pPr>
            <w:r w:rsidRPr="00053F22">
              <w:rPr>
                <w:lang w:val="en-GB"/>
              </w:rPr>
              <w:t xml:space="preserve">• Risk management, from company-level risk assessment to the risk management of daily work </w:t>
            </w:r>
          </w:p>
          <w:p w14:paraId="46E97A20" w14:textId="244FEEC5" w:rsidR="009C2781" w:rsidRPr="00053F22" w:rsidRDefault="009C2781" w:rsidP="00DE096B">
            <w:pPr>
              <w:rPr>
                <w:lang w:val="en-GB"/>
              </w:rPr>
            </w:pPr>
            <w:r w:rsidRPr="00053F22">
              <w:rPr>
                <w:lang w:val="en-GB"/>
              </w:rPr>
              <w:t xml:space="preserve">• Hazard event reporting, covers all areas of safety within the same system </w:t>
            </w:r>
          </w:p>
          <w:p w14:paraId="3D2311D4" w14:textId="7ADDD037" w:rsidR="009C2781" w:rsidRPr="00053F22" w:rsidRDefault="009C2781" w:rsidP="00DE096B">
            <w:pPr>
              <w:rPr>
                <w:lang w:val="en-GB"/>
              </w:rPr>
            </w:pPr>
            <w:r w:rsidRPr="00053F22">
              <w:rPr>
                <w:lang w:val="en-GB"/>
              </w:rPr>
              <w:t xml:space="preserve">• Qualifications management and competence development, statutory and the organisation’s own qualifications and unit-specific familiarisation as well as well-rounded training programmes related to qualifications. </w:t>
            </w:r>
          </w:p>
          <w:p w14:paraId="206A744D" w14:textId="77777777" w:rsidR="009C2781" w:rsidRPr="00053F22" w:rsidRDefault="009C2781" w:rsidP="00DE096B">
            <w:pPr>
              <w:rPr>
                <w:lang w:val="en-GB"/>
              </w:rPr>
            </w:pPr>
          </w:p>
          <w:p w14:paraId="196AD0D2" w14:textId="24BF93B2" w:rsidR="009C2781" w:rsidRPr="00053F22" w:rsidRDefault="009C2781" w:rsidP="00DE096B">
            <w:pPr>
              <w:rPr>
                <w:lang w:val="en-GB"/>
              </w:rPr>
            </w:pPr>
            <w:r w:rsidRPr="00053F22">
              <w:rPr>
                <w:lang w:val="en-GB"/>
              </w:rPr>
              <w:t>The following data can be saved in a personal profile: First name, Surname, Email address, Role, Title, Language of use, Description, Street address, Postal code, Post Office, Country, Business unit, Supervisor, Team, Internal user ID, Personal ID number. Connected to these data, the system saves the following user-specific data items:</w:t>
            </w:r>
            <w:r>
              <w:rPr>
                <w:lang w:val="en-GB"/>
              </w:rPr>
              <w:t xml:space="preserve"> </w:t>
            </w:r>
            <w:r w:rsidRPr="00053F22">
              <w:rPr>
                <w:lang w:val="en-GB"/>
              </w:rPr>
              <w:t xml:space="preserve">Organisation data, Organisation unit data, Organisation unit’s person in charge and supervisor data, Processed documents, Completed trainings, Achieved qualifications, Stages of different processes where the user is involved or in a responsible role, work teams or matrices, work shift data, worktime and work experience data. </w:t>
            </w:r>
          </w:p>
          <w:p w14:paraId="0D1B70CE" w14:textId="77777777" w:rsidR="009C2781" w:rsidRPr="00053F22" w:rsidRDefault="009C2781" w:rsidP="00DE096B">
            <w:pPr>
              <w:rPr>
                <w:lang w:val="en-GB"/>
              </w:rPr>
            </w:pPr>
          </w:p>
          <w:p w14:paraId="10F86C19" w14:textId="5FA179D3" w:rsidR="009C2781" w:rsidRPr="00053F22" w:rsidRDefault="009C2781" w:rsidP="00DE096B">
            <w:pPr>
              <w:rPr>
                <w:lang w:val="en-GB"/>
              </w:rPr>
            </w:pPr>
            <w:r>
              <w:rPr>
                <w:lang w:val="en-GB"/>
              </w:rPr>
              <w:t>The v</w:t>
            </w:r>
            <w:r w:rsidRPr="00053F22">
              <w:rPr>
                <w:lang w:val="en-GB"/>
              </w:rPr>
              <w:t xml:space="preserve">iewing and editing of personal data in the system is controlled by a log database. These log data can be accessed by system admin rights only. From the system, it is possible to compile a report on the user IDs used for viewing personal data. In specific cases of use and those specifically defined in </w:t>
            </w:r>
            <w:r w:rsidRPr="00053F22">
              <w:rPr>
                <w:lang w:val="en-GB"/>
              </w:rPr>
              <w:lastRenderedPageBreak/>
              <w:t>customer agreements, it is also possible to process personal health data related to accidents, for instance (description of the accident, other injury description) as well as personal identification code or another strictly identifying personal data.</w:t>
            </w:r>
          </w:p>
        </w:tc>
        <w:tc>
          <w:tcPr>
            <w:tcW w:w="1532" w:type="pct"/>
          </w:tcPr>
          <w:p w14:paraId="2557AD23" w14:textId="78BFFD91" w:rsidR="009C2781" w:rsidRPr="00053F22" w:rsidRDefault="009C2781" w:rsidP="00DE096B">
            <w:pPr>
              <w:rPr>
                <w:lang w:val="en-GB"/>
              </w:rPr>
            </w:pPr>
            <w:r w:rsidRPr="00053F22">
              <w:rPr>
                <w:lang w:val="en-GB"/>
              </w:rPr>
              <w:lastRenderedPageBreak/>
              <w:t>Not transferred.</w:t>
            </w:r>
          </w:p>
        </w:tc>
      </w:tr>
      <w:tr w:rsidR="009C2781" w:rsidRPr="00053F22" w14:paraId="1D9C2E21" w14:textId="7910D48A" w:rsidTr="00A63EA2">
        <w:trPr>
          <w:cantSplit/>
          <w:trHeight w:val="269"/>
        </w:trPr>
        <w:tc>
          <w:tcPr>
            <w:tcW w:w="788" w:type="pct"/>
          </w:tcPr>
          <w:p w14:paraId="56A5077E" w14:textId="77777777" w:rsidR="009C2781" w:rsidRPr="00053F22" w:rsidRDefault="009C2781" w:rsidP="00DE096B">
            <w:pPr>
              <w:pStyle w:val="ListParagraph"/>
              <w:numPr>
                <w:ilvl w:val="0"/>
                <w:numId w:val="18"/>
              </w:numPr>
              <w:rPr>
                <w:lang w:val="en-GB"/>
              </w:rPr>
            </w:pPr>
            <w:proofErr w:type="spellStart"/>
            <w:r w:rsidRPr="00053F22">
              <w:rPr>
                <w:lang w:val="en-GB"/>
              </w:rPr>
              <w:t>Signicat</w:t>
            </w:r>
            <w:proofErr w:type="spellEnd"/>
          </w:p>
        </w:tc>
        <w:tc>
          <w:tcPr>
            <w:tcW w:w="900" w:type="pct"/>
          </w:tcPr>
          <w:p w14:paraId="22C7D3FD" w14:textId="11E05E78" w:rsidR="009C2781" w:rsidRPr="00053F22" w:rsidRDefault="009C2781" w:rsidP="00DE096B">
            <w:pPr>
              <w:rPr>
                <w:lang w:val="en-GB"/>
              </w:rPr>
            </w:pPr>
            <w:r w:rsidRPr="00053F22">
              <w:rPr>
                <w:lang w:val="en-GB"/>
              </w:rPr>
              <w:t>Student identification</w:t>
            </w:r>
          </w:p>
        </w:tc>
        <w:tc>
          <w:tcPr>
            <w:tcW w:w="1780" w:type="pct"/>
          </w:tcPr>
          <w:p w14:paraId="141D45F1" w14:textId="62170206" w:rsidR="009C2781" w:rsidRPr="00053F22" w:rsidRDefault="009C2781" w:rsidP="00DE096B">
            <w:pPr>
              <w:rPr>
                <w:lang w:val="en-GB"/>
              </w:rPr>
            </w:pPr>
            <w:r w:rsidRPr="00053F22">
              <w:rPr>
                <w:lang w:val="en-GB"/>
              </w:rPr>
              <w:t xml:space="preserve">Biometric identification of international degree students </w:t>
            </w:r>
          </w:p>
        </w:tc>
        <w:tc>
          <w:tcPr>
            <w:tcW w:w="1532" w:type="pct"/>
          </w:tcPr>
          <w:p w14:paraId="4210E7DF" w14:textId="6CAFAEC3" w:rsidR="009C2781" w:rsidRPr="00053F22" w:rsidRDefault="009C2781" w:rsidP="00DE096B">
            <w:pPr>
              <w:rPr>
                <w:lang w:val="en-GB"/>
              </w:rPr>
            </w:pPr>
            <w:r w:rsidRPr="00053F22">
              <w:rPr>
                <w:lang w:val="en-GB"/>
              </w:rPr>
              <w:t>Not transferred.</w:t>
            </w:r>
          </w:p>
        </w:tc>
      </w:tr>
      <w:tr w:rsidR="009C2781" w:rsidRPr="00502BC9" w14:paraId="78069A43" w14:textId="1B99CDCA" w:rsidTr="00A63EA2">
        <w:trPr>
          <w:cantSplit/>
          <w:trHeight w:val="269"/>
        </w:trPr>
        <w:tc>
          <w:tcPr>
            <w:tcW w:w="788" w:type="pct"/>
          </w:tcPr>
          <w:p w14:paraId="0BA272D8" w14:textId="2ABB609A" w:rsidR="009C2781" w:rsidRPr="00053F22" w:rsidRDefault="009C2781" w:rsidP="00DE096B">
            <w:pPr>
              <w:pStyle w:val="ListParagraph"/>
              <w:numPr>
                <w:ilvl w:val="0"/>
                <w:numId w:val="18"/>
              </w:numPr>
              <w:rPr>
                <w:lang w:val="en-GB"/>
              </w:rPr>
            </w:pPr>
            <w:r w:rsidRPr="00053F22">
              <w:rPr>
                <w:lang w:val="en-GB"/>
              </w:rPr>
              <w:t xml:space="preserve">Sirius HR, </w:t>
            </w:r>
            <w:proofErr w:type="spellStart"/>
            <w:r w:rsidRPr="00053F22">
              <w:rPr>
                <w:lang w:val="en-GB"/>
              </w:rPr>
              <w:t>Terveystalo</w:t>
            </w:r>
            <w:proofErr w:type="spellEnd"/>
            <w:r w:rsidRPr="00053F22">
              <w:rPr>
                <w:lang w:val="en-GB"/>
              </w:rPr>
              <w:t xml:space="preserve"> </w:t>
            </w:r>
          </w:p>
        </w:tc>
        <w:tc>
          <w:tcPr>
            <w:tcW w:w="900" w:type="pct"/>
          </w:tcPr>
          <w:p w14:paraId="471E73BC" w14:textId="594E6AC4" w:rsidR="009C2781" w:rsidRPr="00053F22" w:rsidRDefault="009C2781" w:rsidP="00DE096B">
            <w:pPr>
              <w:rPr>
                <w:lang w:val="en-GB"/>
              </w:rPr>
            </w:pPr>
            <w:r w:rsidRPr="00053F22">
              <w:rPr>
                <w:lang w:val="en-GB"/>
              </w:rPr>
              <w:t>HR</w:t>
            </w:r>
          </w:p>
        </w:tc>
        <w:tc>
          <w:tcPr>
            <w:tcW w:w="1780" w:type="pct"/>
          </w:tcPr>
          <w:p w14:paraId="591736D9" w14:textId="4EDA94A0" w:rsidR="009C2781" w:rsidRPr="00053F22" w:rsidRDefault="009C2781" w:rsidP="00DE096B">
            <w:pPr>
              <w:rPr>
                <w:lang w:val="en-GB"/>
              </w:rPr>
            </w:pPr>
            <w:r w:rsidRPr="00053F22">
              <w:rPr>
                <w:lang w:val="en-GB"/>
              </w:rPr>
              <w:t xml:space="preserve">- Basic data on employees </w:t>
            </w:r>
          </w:p>
          <w:p w14:paraId="6A9FFADF" w14:textId="698EE265" w:rsidR="009C2781" w:rsidRPr="00053F22" w:rsidRDefault="009C2781" w:rsidP="00DE096B">
            <w:pPr>
              <w:rPr>
                <w:lang w:val="en-GB"/>
              </w:rPr>
            </w:pPr>
            <w:r w:rsidRPr="00053F22">
              <w:rPr>
                <w:lang w:val="en-GB"/>
              </w:rPr>
              <w:t>- employment relationship and organi</w:t>
            </w:r>
            <w:r>
              <w:rPr>
                <w:lang w:val="en-GB"/>
              </w:rPr>
              <w:t>s</w:t>
            </w:r>
            <w:r w:rsidRPr="00053F22">
              <w:rPr>
                <w:lang w:val="en-GB"/>
              </w:rPr>
              <w:t xml:space="preserve">ation data </w:t>
            </w:r>
          </w:p>
          <w:p w14:paraId="16682743" w14:textId="0F8987D3" w:rsidR="009C2781" w:rsidRPr="00053F22" w:rsidRDefault="009C2781" w:rsidP="00DE096B">
            <w:pPr>
              <w:rPr>
                <w:lang w:val="en-GB"/>
              </w:rPr>
            </w:pPr>
            <w:r w:rsidRPr="00053F22">
              <w:rPr>
                <w:lang w:val="en-GB"/>
              </w:rPr>
              <w:t xml:space="preserve">- Data on absences </w:t>
            </w:r>
          </w:p>
          <w:p w14:paraId="34B6FE8C" w14:textId="632E763D" w:rsidR="009C2781" w:rsidRPr="00053F22" w:rsidRDefault="009C2781" w:rsidP="00DE096B">
            <w:pPr>
              <w:rPr>
                <w:lang w:val="en-GB"/>
              </w:rPr>
            </w:pPr>
            <w:r w:rsidRPr="00053F22">
              <w:rPr>
                <w:lang w:val="en-GB"/>
              </w:rPr>
              <w:t>- Memos</w:t>
            </w:r>
          </w:p>
        </w:tc>
        <w:tc>
          <w:tcPr>
            <w:tcW w:w="1532" w:type="pct"/>
          </w:tcPr>
          <w:p w14:paraId="6B500617" w14:textId="2772BB83" w:rsidR="009C2781" w:rsidRPr="00053F22" w:rsidRDefault="009C2781" w:rsidP="00DE096B">
            <w:pPr>
              <w:rPr>
                <w:lang w:val="en-GB"/>
              </w:rPr>
            </w:pPr>
            <w:r w:rsidRPr="00053F22">
              <w:rPr>
                <w:lang w:val="en-GB"/>
              </w:rPr>
              <w:t>Not transferred. The supplier is not entitled to move any servers or their control related to the implementation of the agreement, or any other work pertaining to the implementation of the agreement and data sets covered by the agreement, to be handled in a country outside the ETA area.</w:t>
            </w:r>
          </w:p>
        </w:tc>
      </w:tr>
      <w:tr w:rsidR="009C2781" w:rsidRPr="00053F22" w14:paraId="11F8D0D3" w14:textId="07ABDFF7" w:rsidTr="00A63EA2">
        <w:trPr>
          <w:cantSplit/>
          <w:trHeight w:val="269"/>
        </w:trPr>
        <w:tc>
          <w:tcPr>
            <w:tcW w:w="788" w:type="pct"/>
          </w:tcPr>
          <w:p w14:paraId="3058EA90" w14:textId="0B4C38F8" w:rsidR="009C2781" w:rsidRPr="00053F22" w:rsidRDefault="009C2781" w:rsidP="00DE096B">
            <w:pPr>
              <w:pStyle w:val="ListParagraph"/>
              <w:numPr>
                <w:ilvl w:val="0"/>
                <w:numId w:val="18"/>
              </w:numPr>
              <w:rPr>
                <w:lang w:val="en-GB"/>
              </w:rPr>
            </w:pPr>
            <w:proofErr w:type="spellStart"/>
            <w:r w:rsidRPr="00053F22">
              <w:rPr>
                <w:lang w:val="en-GB"/>
              </w:rPr>
              <w:t>ThingLink</w:t>
            </w:r>
            <w:proofErr w:type="spellEnd"/>
          </w:p>
        </w:tc>
        <w:tc>
          <w:tcPr>
            <w:tcW w:w="900" w:type="pct"/>
          </w:tcPr>
          <w:p w14:paraId="2C39E595" w14:textId="58DF8B70" w:rsidR="009C2781" w:rsidRPr="00053F22" w:rsidRDefault="009C2781" w:rsidP="00DE096B">
            <w:pPr>
              <w:rPr>
                <w:lang w:val="en-GB"/>
              </w:rPr>
            </w:pPr>
            <w:r w:rsidRPr="00053F22">
              <w:rPr>
                <w:lang w:val="en-GB"/>
              </w:rPr>
              <w:t>A digital tool</w:t>
            </w:r>
          </w:p>
        </w:tc>
        <w:tc>
          <w:tcPr>
            <w:tcW w:w="1780" w:type="pct"/>
          </w:tcPr>
          <w:p w14:paraId="5E2B5148" w14:textId="7F796E3B" w:rsidR="009C2781" w:rsidRPr="00053F22" w:rsidRDefault="009C2781" w:rsidP="00DE096B">
            <w:pPr>
              <w:rPr>
                <w:lang w:val="en-GB"/>
              </w:rPr>
            </w:pPr>
            <w:r w:rsidRPr="00053F22">
              <w:rPr>
                <w:lang w:val="en-GB"/>
              </w:rPr>
              <w:t>Build visual learning experiences by means of interactive images, videos and the 360 media.</w:t>
            </w:r>
          </w:p>
        </w:tc>
        <w:tc>
          <w:tcPr>
            <w:tcW w:w="1532" w:type="pct"/>
          </w:tcPr>
          <w:p w14:paraId="3EDA0F1F" w14:textId="5A8E826D" w:rsidR="009C2781" w:rsidRPr="00053F22" w:rsidRDefault="009C2781" w:rsidP="00DE096B">
            <w:pPr>
              <w:rPr>
                <w:lang w:val="en-GB"/>
              </w:rPr>
            </w:pPr>
            <w:r w:rsidRPr="00053F22">
              <w:rPr>
                <w:lang w:val="en-GB"/>
              </w:rPr>
              <w:t>Review in progress</w:t>
            </w:r>
          </w:p>
          <w:p w14:paraId="4E82FB8B" w14:textId="77777777" w:rsidR="009C2781" w:rsidRPr="00053F22" w:rsidRDefault="009C2781" w:rsidP="00DE096B">
            <w:pPr>
              <w:rPr>
                <w:lang w:val="en-GB"/>
              </w:rPr>
            </w:pPr>
          </w:p>
        </w:tc>
      </w:tr>
      <w:tr w:rsidR="009C2781" w:rsidRPr="00053F22" w14:paraId="4D4C75B3" w14:textId="28FD0841" w:rsidTr="00A63EA2">
        <w:trPr>
          <w:cantSplit/>
          <w:trHeight w:val="269"/>
        </w:trPr>
        <w:tc>
          <w:tcPr>
            <w:tcW w:w="788" w:type="pct"/>
          </w:tcPr>
          <w:p w14:paraId="32E448D9" w14:textId="34E89C4B" w:rsidR="009C2781" w:rsidRPr="00053F22" w:rsidRDefault="009C2781" w:rsidP="00DE096B">
            <w:pPr>
              <w:pStyle w:val="ListParagraph"/>
              <w:numPr>
                <w:ilvl w:val="0"/>
                <w:numId w:val="18"/>
              </w:numPr>
              <w:rPr>
                <w:lang w:val="en-GB"/>
              </w:rPr>
            </w:pPr>
            <w:proofErr w:type="spellStart"/>
            <w:r w:rsidRPr="00053F22">
              <w:rPr>
                <w:lang w:val="en-GB"/>
              </w:rPr>
              <w:lastRenderedPageBreak/>
              <w:t>ThinkingPortfolio</w:t>
            </w:r>
            <w:proofErr w:type="spellEnd"/>
            <w:r w:rsidRPr="00053F22">
              <w:rPr>
                <w:lang w:val="en-GB"/>
              </w:rPr>
              <w:t xml:space="preserve"> Oy</w:t>
            </w:r>
          </w:p>
        </w:tc>
        <w:tc>
          <w:tcPr>
            <w:tcW w:w="900" w:type="pct"/>
          </w:tcPr>
          <w:p w14:paraId="7ACB7822" w14:textId="407C62FA" w:rsidR="009C2781" w:rsidRPr="00053F22" w:rsidRDefault="009C2781" w:rsidP="00DE096B">
            <w:pPr>
              <w:rPr>
                <w:lang w:val="en-GB"/>
              </w:rPr>
            </w:pPr>
            <w:r w:rsidRPr="00053F22">
              <w:rPr>
                <w:lang w:val="en-GB"/>
              </w:rPr>
              <w:t xml:space="preserve">A tool for project management. </w:t>
            </w:r>
          </w:p>
        </w:tc>
        <w:tc>
          <w:tcPr>
            <w:tcW w:w="1780" w:type="pct"/>
          </w:tcPr>
          <w:p w14:paraId="306A6C18" w14:textId="793CF142" w:rsidR="009C2781" w:rsidRPr="00053F22" w:rsidRDefault="009C2781" w:rsidP="00DE096B">
            <w:pPr>
              <w:rPr>
                <w:lang w:val="en-GB"/>
              </w:rPr>
            </w:pPr>
            <w:r w:rsidRPr="00053F22">
              <w:rPr>
                <w:lang w:val="en-GB"/>
              </w:rPr>
              <w:t xml:space="preserve">The actual purpose of the service is not to process the Data Controller’s personal data, but in connection with the maintenance and support services included in the agreement, the processor has access to the Data Controller’s personal data, for example in the context of troubleshooting or sorting out errors. </w:t>
            </w:r>
          </w:p>
          <w:p w14:paraId="67A3790C" w14:textId="77777777" w:rsidR="009C2781" w:rsidRPr="00053F22" w:rsidRDefault="009C2781" w:rsidP="00DE096B">
            <w:pPr>
              <w:rPr>
                <w:lang w:val="en-GB"/>
              </w:rPr>
            </w:pPr>
          </w:p>
          <w:p w14:paraId="61153132" w14:textId="68FDA939" w:rsidR="009C2781" w:rsidRPr="00053F22" w:rsidRDefault="009C2781" w:rsidP="00DE096B">
            <w:pPr>
              <w:rPr>
                <w:lang w:val="en-GB"/>
              </w:rPr>
            </w:pPr>
            <w:r w:rsidRPr="00053F22">
              <w:rPr>
                <w:lang w:val="en-GB"/>
              </w:rPr>
              <w:t>The supplier processes the client’s personal data (personal data groups such as employees, customers, consultants, etc.). The data model for user management includes a person’s first name, surname, and public email address. Other data items include the person’s user rights</w:t>
            </w:r>
            <w:r>
              <w:rPr>
                <w:lang w:val="en-GB"/>
              </w:rPr>
              <w:t>;</w:t>
            </w:r>
            <w:r w:rsidRPr="00053F22">
              <w:rPr>
                <w:lang w:val="en-GB"/>
              </w:rPr>
              <w:t xml:space="preserve"> Role defined by the Data Controller’s root user </w:t>
            </w:r>
          </w:p>
          <w:p w14:paraId="458FC38B" w14:textId="25F71227" w:rsidR="009C2781" w:rsidRPr="00053F22" w:rsidRDefault="009C2781" w:rsidP="00DE096B">
            <w:pPr>
              <w:rPr>
                <w:lang w:val="en-GB"/>
              </w:rPr>
            </w:pPr>
            <w:r w:rsidRPr="00053F22">
              <w:rPr>
                <w:lang w:val="en-GB"/>
              </w:rPr>
              <w:t xml:space="preserve">(e.g. Project Manager, steering group member). </w:t>
            </w:r>
          </w:p>
          <w:p w14:paraId="356E157E" w14:textId="77777777" w:rsidR="009C2781" w:rsidRPr="00053F22" w:rsidRDefault="009C2781" w:rsidP="00DE096B">
            <w:pPr>
              <w:rPr>
                <w:lang w:val="en-GB"/>
              </w:rPr>
            </w:pPr>
          </w:p>
          <w:p w14:paraId="6ACC9F3E" w14:textId="6445DB43" w:rsidR="009C2781" w:rsidRPr="00053F22" w:rsidRDefault="009C2781" w:rsidP="00DE096B">
            <w:pPr>
              <w:rPr>
                <w:lang w:val="en-GB"/>
              </w:rPr>
            </w:pPr>
            <w:r w:rsidRPr="00053F22">
              <w:rPr>
                <w:lang w:val="en-GB"/>
              </w:rPr>
              <w:t>In addition, usage generates log data.</w:t>
            </w:r>
          </w:p>
        </w:tc>
        <w:tc>
          <w:tcPr>
            <w:tcW w:w="1532" w:type="pct"/>
          </w:tcPr>
          <w:p w14:paraId="47060722" w14:textId="6A399FC8" w:rsidR="009C2781" w:rsidRPr="00053F22" w:rsidRDefault="009C2781" w:rsidP="00DE096B">
            <w:pPr>
              <w:rPr>
                <w:lang w:val="en-GB"/>
              </w:rPr>
            </w:pPr>
            <w:r w:rsidRPr="00053F22">
              <w:rPr>
                <w:lang w:val="en-GB"/>
              </w:rPr>
              <w:t>Not transferred.</w:t>
            </w:r>
          </w:p>
        </w:tc>
      </w:tr>
      <w:tr w:rsidR="009C2781" w:rsidRPr="00053F22" w14:paraId="364B76D7" w14:textId="3F36FA82" w:rsidTr="00A63EA2">
        <w:trPr>
          <w:cantSplit/>
          <w:trHeight w:val="269"/>
        </w:trPr>
        <w:tc>
          <w:tcPr>
            <w:tcW w:w="788" w:type="pct"/>
          </w:tcPr>
          <w:p w14:paraId="28E67A03" w14:textId="0E744F79" w:rsidR="009C2781" w:rsidRPr="00053F22" w:rsidRDefault="009C2781" w:rsidP="00DE096B">
            <w:pPr>
              <w:pStyle w:val="ListParagraph"/>
              <w:numPr>
                <w:ilvl w:val="0"/>
                <w:numId w:val="18"/>
              </w:numPr>
              <w:rPr>
                <w:highlight w:val="green"/>
                <w:lang w:val="en-GB"/>
              </w:rPr>
            </w:pPr>
            <w:r w:rsidRPr="00053F22">
              <w:rPr>
                <w:highlight w:val="green"/>
                <w:lang w:val="en-GB"/>
              </w:rPr>
              <w:t>Webropol</w:t>
            </w:r>
          </w:p>
        </w:tc>
        <w:tc>
          <w:tcPr>
            <w:tcW w:w="900" w:type="pct"/>
          </w:tcPr>
          <w:p w14:paraId="2CE3993C" w14:textId="0AAD1B06" w:rsidR="009C2781" w:rsidRPr="00053F22" w:rsidRDefault="009C2781" w:rsidP="00DE096B">
            <w:pPr>
              <w:rPr>
                <w:highlight w:val="green"/>
                <w:lang w:val="en-GB"/>
              </w:rPr>
            </w:pPr>
            <w:r w:rsidRPr="00053F22">
              <w:rPr>
                <w:highlight w:val="green"/>
                <w:lang w:val="en-GB"/>
              </w:rPr>
              <w:t>A survey software</w:t>
            </w:r>
          </w:p>
        </w:tc>
        <w:tc>
          <w:tcPr>
            <w:tcW w:w="1780" w:type="pct"/>
          </w:tcPr>
          <w:p w14:paraId="327A6BF6" w14:textId="749AC101" w:rsidR="009C2781" w:rsidRPr="00053F22" w:rsidRDefault="009C2781" w:rsidP="00DE096B">
            <w:pPr>
              <w:shd w:val="clear" w:color="auto" w:fill="FFFFFF"/>
              <w:rPr>
                <w:rFonts w:ascii="Calibri" w:eastAsia="Times New Roman" w:hAnsi="Calibri" w:cs="Calibri"/>
                <w:color w:val="444444"/>
                <w:highlight w:val="green"/>
                <w:lang w:val="en-GB" w:eastAsia="fi-FI"/>
              </w:rPr>
            </w:pPr>
            <w:r w:rsidRPr="00053F22">
              <w:rPr>
                <w:highlight w:val="green"/>
                <w:lang w:val="en-GB"/>
              </w:rPr>
              <w:t>Introduction of a survey and course feedback system, system maintenance as an external service</w:t>
            </w:r>
          </w:p>
        </w:tc>
        <w:tc>
          <w:tcPr>
            <w:tcW w:w="1532" w:type="pct"/>
          </w:tcPr>
          <w:p w14:paraId="1D8C9C0E" w14:textId="6B690D8B" w:rsidR="009C2781" w:rsidRPr="00053F22" w:rsidRDefault="009C2781" w:rsidP="00DE096B">
            <w:pPr>
              <w:rPr>
                <w:highlight w:val="green"/>
                <w:lang w:val="en-GB"/>
              </w:rPr>
            </w:pPr>
            <w:r w:rsidRPr="00053F22">
              <w:rPr>
                <w:highlight w:val="green"/>
                <w:lang w:val="en-GB"/>
              </w:rPr>
              <w:t>Not transferred.</w:t>
            </w:r>
          </w:p>
        </w:tc>
      </w:tr>
      <w:tr w:rsidR="009D7796" w:rsidRPr="00053F22" w14:paraId="7E621510" w14:textId="77777777" w:rsidTr="00A63EA2">
        <w:trPr>
          <w:cantSplit/>
          <w:trHeight w:val="269"/>
        </w:trPr>
        <w:tc>
          <w:tcPr>
            <w:tcW w:w="788" w:type="pct"/>
          </w:tcPr>
          <w:p w14:paraId="18503A64" w14:textId="55CE8365" w:rsidR="009D7796" w:rsidRPr="009D7796" w:rsidRDefault="009D7796" w:rsidP="00E05965">
            <w:pPr>
              <w:pStyle w:val="ListParagraph"/>
              <w:numPr>
                <w:ilvl w:val="0"/>
                <w:numId w:val="18"/>
              </w:numPr>
            </w:pPr>
            <w:r w:rsidRPr="000436F4">
              <w:t xml:space="preserve"> </w:t>
            </w:r>
            <w:proofErr w:type="spellStart"/>
            <w:r w:rsidRPr="000436F4">
              <w:t>WeLib</w:t>
            </w:r>
            <w:proofErr w:type="spellEnd"/>
            <w:r w:rsidRPr="00CE7971">
              <w:t xml:space="preserve"> kirjastojärjestelmä</w:t>
            </w:r>
            <w:r>
              <w:t xml:space="preserve">, </w:t>
            </w:r>
            <w:proofErr w:type="spellStart"/>
            <w:r w:rsidRPr="00587B5F">
              <w:t>Axiell</w:t>
            </w:r>
            <w:proofErr w:type="spellEnd"/>
            <w:r w:rsidRPr="00587B5F">
              <w:t xml:space="preserve"> Finland Oy, Y-tunnus </w:t>
            </w:r>
            <w:proofErr w:type="gramStart"/>
            <w:r w:rsidRPr="00587B5F">
              <w:t>2370994-4</w:t>
            </w:r>
            <w:proofErr w:type="gramEnd"/>
          </w:p>
        </w:tc>
        <w:tc>
          <w:tcPr>
            <w:tcW w:w="900" w:type="pct"/>
          </w:tcPr>
          <w:p w14:paraId="58DCCDCB" w14:textId="6639AB9C" w:rsidR="009D7796" w:rsidRPr="00053F22" w:rsidRDefault="009D7796" w:rsidP="009D7796">
            <w:pPr>
              <w:rPr>
                <w:lang w:val="en-GB"/>
              </w:rPr>
            </w:pPr>
            <w:r w:rsidRPr="000436F4">
              <w:t>Kirjastojärjestelmä, mm. oppikirjat</w:t>
            </w:r>
          </w:p>
        </w:tc>
        <w:tc>
          <w:tcPr>
            <w:tcW w:w="1780" w:type="pct"/>
          </w:tcPr>
          <w:p w14:paraId="4D795F64" w14:textId="77777777" w:rsidR="009D7796" w:rsidRPr="000436F4" w:rsidRDefault="009D7796" w:rsidP="009D7796">
            <w:r w:rsidRPr="000436F4">
              <w:t>Normaalikoulun kirjaston lainaustoiminta/opetuksen järjestäminen ja tukeminen (oppikirjojen maksuttomuus)</w:t>
            </w:r>
          </w:p>
          <w:p w14:paraId="29CFB8D1" w14:textId="77777777" w:rsidR="009D7796" w:rsidRPr="009D7796" w:rsidRDefault="009D7796" w:rsidP="009D7796">
            <w:pPr>
              <w:shd w:val="clear" w:color="auto" w:fill="FFFFFF"/>
              <w:rPr>
                <w:rFonts w:ascii="Calibri" w:eastAsia="Times New Roman" w:hAnsi="Calibri" w:cs="Calibri"/>
                <w:color w:val="444444"/>
                <w:lang w:eastAsia="fi-FI"/>
              </w:rPr>
            </w:pPr>
          </w:p>
        </w:tc>
        <w:tc>
          <w:tcPr>
            <w:tcW w:w="1532" w:type="pct"/>
          </w:tcPr>
          <w:p w14:paraId="20F1FC20" w14:textId="444D6E12" w:rsidR="009D7796" w:rsidRPr="00053F22" w:rsidRDefault="009D7796" w:rsidP="009D7796">
            <w:pPr>
              <w:rPr>
                <w:lang w:val="en-GB"/>
              </w:rPr>
            </w:pPr>
            <w:r w:rsidRPr="000436F4">
              <w:t>Ei siirretä</w:t>
            </w:r>
          </w:p>
        </w:tc>
      </w:tr>
      <w:tr w:rsidR="009D7796" w:rsidRPr="00053F22" w14:paraId="39B2F307" w14:textId="1E4D014C" w:rsidTr="00A63EA2">
        <w:trPr>
          <w:cantSplit/>
          <w:trHeight w:val="269"/>
        </w:trPr>
        <w:tc>
          <w:tcPr>
            <w:tcW w:w="788" w:type="pct"/>
          </w:tcPr>
          <w:p w14:paraId="7F722F4D" w14:textId="7F4A5559" w:rsidR="009D7796" w:rsidRPr="00053F22" w:rsidRDefault="009D7796" w:rsidP="009D7796">
            <w:pPr>
              <w:pStyle w:val="ListParagraph"/>
              <w:numPr>
                <w:ilvl w:val="0"/>
                <w:numId w:val="18"/>
              </w:numPr>
              <w:rPr>
                <w:lang w:val="en-GB"/>
              </w:rPr>
            </w:pPr>
            <w:proofErr w:type="spellStart"/>
            <w:r w:rsidRPr="00053F22">
              <w:rPr>
                <w:lang w:val="en-GB"/>
              </w:rPr>
              <w:lastRenderedPageBreak/>
              <w:t>Wilmoittaja</w:t>
            </w:r>
            <w:proofErr w:type="spellEnd"/>
            <w:r w:rsidRPr="00053F22">
              <w:rPr>
                <w:lang w:val="en-GB"/>
              </w:rPr>
              <w:t xml:space="preserve">, </w:t>
            </w:r>
            <w:proofErr w:type="spellStart"/>
            <w:r w:rsidRPr="00053F22">
              <w:rPr>
                <w:lang w:val="en-GB"/>
              </w:rPr>
              <w:t>NetProfit</w:t>
            </w:r>
            <w:proofErr w:type="spellEnd"/>
            <w:r w:rsidRPr="00053F22">
              <w:rPr>
                <w:lang w:val="en-GB"/>
              </w:rPr>
              <w:t xml:space="preserve"> Oy</w:t>
            </w:r>
          </w:p>
        </w:tc>
        <w:tc>
          <w:tcPr>
            <w:tcW w:w="900" w:type="pct"/>
          </w:tcPr>
          <w:p w14:paraId="5A8D965B" w14:textId="7DD814E5" w:rsidR="009D7796" w:rsidRPr="00053F22" w:rsidRDefault="009D7796" w:rsidP="009D7796">
            <w:pPr>
              <w:rPr>
                <w:lang w:val="en-GB"/>
              </w:rPr>
            </w:pPr>
            <w:r w:rsidRPr="00053F22">
              <w:rPr>
                <w:lang w:val="en-GB"/>
              </w:rPr>
              <w:t xml:space="preserve">A notification delivery service </w:t>
            </w:r>
          </w:p>
        </w:tc>
        <w:tc>
          <w:tcPr>
            <w:tcW w:w="1780" w:type="pct"/>
          </w:tcPr>
          <w:p w14:paraId="7FF89F21" w14:textId="3B859160" w:rsidR="009D7796" w:rsidRPr="00053F22" w:rsidRDefault="009D7796" w:rsidP="009D7796">
            <w:pPr>
              <w:shd w:val="clear" w:color="auto" w:fill="FFFFFF"/>
              <w:rPr>
                <w:rFonts w:ascii="Calibri" w:eastAsia="Times New Roman" w:hAnsi="Calibri" w:cs="Calibri"/>
                <w:color w:val="444444"/>
                <w:lang w:val="en-GB" w:eastAsia="fi-FI"/>
              </w:rPr>
            </w:pPr>
            <w:r w:rsidRPr="00053F22">
              <w:rPr>
                <w:rFonts w:ascii="Calibri" w:eastAsia="Times New Roman" w:hAnsi="Calibri" w:cs="Calibri"/>
                <w:color w:val="444444"/>
                <w:lang w:val="en-GB" w:eastAsia="fi-FI"/>
              </w:rPr>
              <w:t xml:space="preserve">A service by means of which the Teacher Training School as a Wilma-user can create </w:t>
            </w:r>
          </w:p>
          <w:p w14:paraId="7FFDC380" w14:textId="75F761AE" w:rsidR="009D7796" w:rsidRPr="00053F22" w:rsidRDefault="009D7796" w:rsidP="009D7796">
            <w:pPr>
              <w:shd w:val="clear" w:color="auto" w:fill="FFFFFF"/>
              <w:rPr>
                <w:rFonts w:ascii="Calibri" w:eastAsia="Times New Roman" w:hAnsi="Calibri" w:cs="Calibri"/>
                <w:color w:val="444444"/>
                <w:lang w:val="en-GB" w:eastAsia="fi-FI"/>
              </w:rPr>
            </w:pPr>
            <w:r w:rsidRPr="00053F22">
              <w:rPr>
                <w:rFonts w:ascii="Calibri" w:eastAsia="Times New Roman" w:hAnsi="Calibri" w:cs="Calibri"/>
                <w:color w:val="444444"/>
                <w:lang w:val="en-GB" w:eastAsia="fi-FI"/>
              </w:rPr>
              <w:t xml:space="preserve">alarms and reminders of chosen issues such as </w:t>
            </w:r>
          </w:p>
          <w:p w14:paraId="4541F1EC" w14:textId="442B6779" w:rsidR="009D7796" w:rsidRPr="00053F22" w:rsidRDefault="009D7796" w:rsidP="009D7796">
            <w:pPr>
              <w:shd w:val="clear" w:color="auto" w:fill="FFFFFF"/>
              <w:rPr>
                <w:rFonts w:ascii="Calibri" w:eastAsia="Times New Roman" w:hAnsi="Calibri" w:cs="Calibri"/>
                <w:color w:val="444444"/>
                <w:lang w:val="en-GB" w:eastAsia="fi-FI"/>
              </w:rPr>
            </w:pPr>
            <w:r w:rsidRPr="00053F22">
              <w:rPr>
                <w:rFonts w:ascii="Calibri" w:eastAsia="Times New Roman" w:hAnsi="Calibri" w:cs="Calibri"/>
                <w:color w:val="444444"/>
                <w:lang w:val="en-GB" w:eastAsia="fi-FI"/>
              </w:rPr>
              <w:t>○ Assessments delayed</w:t>
            </w:r>
          </w:p>
          <w:p w14:paraId="0DEABE48" w14:textId="582539FC" w:rsidR="009D7796" w:rsidRPr="00053F22" w:rsidRDefault="009D7796" w:rsidP="009D7796">
            <w:pPr>
              <w:shd w:val="clear" w:color="auto" w:fill="FFFFFF"/>
              <w:rPr>
                <w:rFonts w:ascii="Calibri" w:eastAsia="Times New Roman" w:hAnsi="Calibri" w:cs="Calibri"/>
                <w:color w:val="444444"/>
                <w:lang w:val="en-GB" w:eastAsia="fi-FI"/>
              </w:rPr>
            </w:pPr>
            <w:r w:rsidRPr="00053F22">
              <w:rPr>
                <w:rFonts w:ascii="Calibri" w:eastAsia="Times New Roman" w:hAnsi="Calibri" w:cs="Calibri"/>
                <w:color w:val="444444"/>
                <w:lang w:val="en-GB" w:eastAsia="fi-FI"/>
              </w:rPr>
              <w:t>○ A student has absences exceeding the limit</w:t>
            </w:r>
          </w:p>
          <w:p w14:paraId="019297F1" w14:textId="40F77B5A" w:rsidR="009D7796" w:rsidRPr="00053F22" w:rsidRDefault="009D7796" w:rsidP="009D7796">
            <w:pPr>
              <w:shd w:val="clear" w:color="auto" w:fill="FFFFFF"/>
              <w:rPr>
                <w:rFonts w:ascii="Calibri" w:eastAsia="Times New Roman" w:hAnsi="Calibri" w:cs="Calibri"/>
                <w:color w:val="444444"/>
                <w:lang w:val="en-GB" w:eastAsia="fi-FI"/>
              </w:rPr>
            </w:pPr>
            <w:r w:rsidRPr="00053F22">
              <w:rPr>
                <w:rFonts w:ascii="Calibri" w:eastAsia="Times New Roman" w:hAnsi="Calibri" w:cs="Calibri"/>
                <w:color w:val="444444"/>
                <w:lang w:val="en-GB" w:eastAsia="fi-FI"/>
              </w:rPr>
              <w:t>○ A new applicant has appeared via the education calendar</w:t>
            </w:r>
          </w:p>
          <w:p w14:paraId="6FDBAC79" w14:textId="7327E963" w:rsidR="009D7796" w:rsidRPr="00053F22" w:rsidRDefault="009D7796" w:rsidP="009D7796">
            <w:pPr>
              <w:shd w:val="clear" w:color="auto" w:fill="FFFFFF"/>
              <w:rPr>
                <w:rFonts w:ascii="Calibri" w:eastAsia="Times New Roman" w:hAnsi="Calibri" w:cs="Calibri"/>
                <w:color w:val="444444"/>
                <w:lang w:val="en-GB" w:eastAsia="fi-FI"/>
              </w:rPr>
            </w:pPr>
            <w:r w:rsidRPr="00053F22">
              <w:rPr>
                <w:rFonts w:ascii="Calibri" w:eastAsia="Times New Roman" w:hAnsi="Calibri" w:cs="Calibri"/>
                <w:color w:val="444444"/>
                <w:lang w:val="en-GB" w:eastAsia="fi-FI"/>
              </w:rPr>
              <w:t xml:space="preserve">○ Different stages of an application/decision process </w:t>
            </w:r>
          </w:p>
          <w:p w14:paraId="04CE04CB" w14:textId="4A84032E" w:rsidR="009D7796" w:rsidRPr="00053F22" w:rsidRDefault="009D7796" w:rsidP="009D7796">
            <w:pPr>
              <w:shd w:val="clear" w:color="auto" w:fill="FFFFFF"/>
              <w:rPr>
                <w:lang w:val="en-GB"/>
              </w:rPr>
            </w:pPr>
            <w:r w:rsidRPr="00053F22">
              <w:rPr>
                <w:rFonts w:ascii="Calibri" w:eastAsia="Times New Roman" w:hAnsi="Calibri" w:cs="Calibri"/>
                <w:color w:val="444444"/>
                <w:lang w:val="en-GB" w:eastAsia="fi-FI"/>
              </w:rPr>
              <w:t xml:space="preserve">Data are processed in the </w:t>
            </w:r>
            <w:proofErr w:type="spellStart"/>
            <w:r w:rsidRPr="00053F22">
              <w:rPr>
                <w:rFonts w:ascii="Calibri" w:eastAsia="Times New Roman" w:hAnsi="Calibri" w:cs="Calibri"/>
                <w:color w:val="444444"/>
                <w:lang w:val="en-GB" w:eastAsia="fi-FI"/>
              </w:rPr>
              <w:t>Wilmoittaja</w:t>
            </w:r>
            <w:proofErr w:type="spellEnd"/>
            <w:r w:rsidRPr="00053F22">
              <w:rPr>
                <w:rFonts w:ascii="Calibri" w:eastAsia="Times New Roman" w:hAnsi="Calibri" w:cs="Calibri"/>
                <w:color w:val="444444"/>
                <w:lang w:val="en-GB" w:eastAsia="fi-FI"/>
              </w:rPr>
              <w:t xml:space="preserve"> service only and solely for sending the messages delivered within the service. </w:t>
            </w:r>
          </w:p>
        </w:tc>
        <w:tc>
          <w:tcPr>
            <w:tcW w:w="1532" w:type="pct"/>
          </w:tcPr>
          <w:p w14:paraId="6E9A8A27" w14:textId="0F7D0621" w:rsidR="009D7796" w:rsidRPr="00053F22" w:rsidRDefault="009D7796" w:rsidP="009D7796">
            <w:pPr>
              <w:rPr>
                <w:lang w:val="en-GB"/>
              </w:rPr>
            </w:pPr>
            <w:r w:rsidRPr="00053F22">
              <w:rPr>
                <w:lang w:val="en-GB"/>
              </w:rPr>
              <w:t>Not transferred</w:t>
            </w:r>
          </w:p>
        </w:tc>
      </w:tr>
    </w:tbl>
    <w:p w14:paraId="116FF384" w14:textId="77777777" w:rsidR="00B83642" w:rsidRPr="00053F22" w:rsidRDefault="00B83642" w:rsidP="00BB1DAB">
      <w:pPr>
        <w:pStyle w:val="ListParagraph"/>
        <w:ind w:left="0"/>
        <w:rPr>
          <w:lang w:val="en-GB"/>
        </w:rPr>
      </w:pPr>
    </w:p>
    <w:p w14:paraId="0EDDBFA9" w14:textId="77777777" w:rsidR="00EE7B41" w:rsidRPr="00053F22" w:rsidRDefault="00EE7B41" w:rsidP="00BB1DAB">
      <w:pPr>
        <w:pStyle w:val="ListParagraph"/>
        <w:ind w:left="0"/>
        <w:rPr>
          <w:lang w:val="en-GB"/>
        </w:rPr>
      </w:pPr>
    </w:p>
    <w:p w14:paraId="6C0E6C6A" w14:textId="1421BAA0" w:rsidR="002B4E6B" w:rsidRPr="00053F22" w:rsidRDefault="002B4E6B" w:rsidP="00BB1DAB">
      <w:pPr>
        <w:pStyle w:val="ListParagraph"/>
        <w:ind w:left="0"/>
        <w:rPr>
          <w:rFonts w:cstheme="minorHAnsi"/>
          <w:lang w:val="en-GB"/>
        </w:rPr>
      </w:pPr>
      <w:r w:rsidRPr="00053F22">
        <w:rPr>
          <w:rFonts w:cstheme="minorHAnsi"/>
          <w:lang w:val="en-GB"/>
        </w:rPr>
        <w:t>*</w:t>
      </w:r>
      <w:r w:rsidR="00093971" w:rsidRPr="00053F22">
        <w:rPr>
          <w:rFonts w:cstheme="minorHAnsi"/>
          <w:lang w:val="en-GB"/>
        </w:rPr>
        <w:t>Please note that</w:t>
      </w:r>
      <w:r w:rsidR="00F279BA" w:rsidRPr="00053F22">
        <w:rPr>
          <w:rFonts w:cstheme="minorHAnsi"/>
          <w:lang w:val="en-GB"/>
        </w:rPr>
        <w:t xml:space="preserve"> </w:t>
      </w:r>
      <w:r w:rsidR="00093971" w:rsidRPr="00053F22">
        <w:rPr>
          <w:rFonts w:cstheme="minorHAnsi"/>
          <w:lang w:val="en-GB"/>
        </w:rPr>
        <w:t xml:space="preserve">this list will be revised along </w:t>
      </w:r>
      <w:r w:rsidR="00206631">
        <w:rPr>
          <w:rFonts w:cstheme="minorHAnsi"/>
          <w:lang w:val="en-GB"/>
        </w:rPr>
        <w:t>as</w:t>
      </w:r>
      <w:r w:rsidR="00206631" w:rsidRPr="00053F22">
        <w:rPr>
          <w:rFonts w:cstheme="minorHAnsi"/>
          <w:lang w:val="en-GB"/>
        </w:rPr>
        <w:t xml:space="preserve"> </w:t>
      </w:r>
      <w:r w:rsidR="00093971" w:rsidRPr="00053F22">
        <w:rPr>
          <w:rFonts w:cstheme="minorHAnsi"/>
          <w:lang w:val="en-GB"/>
        </w:rPr>
        <w:t>new services</w:t>
      </w:r>
      <w:r w:rsidR="00F279BA" w:rsidRPr="00053F22">
        <w:rPr>
          <w:rFonts w:cstheme="minorHAnsi"/>
          <w:lang w:val="en-GB"/>
        </w:rPr>
        <w:t xml:space="preserve"> </w:t>
      </w:r>
      <w:r w:rsidR="00206631">
        <w:rPr>
          <w:rFonts w:cstheme="minorHAnsi"/>
          <w:lang w:val="en-GB"/>
        </w:rPr>
        <w:t>are adopted</w:t>
      </w:r>
      <w:r w:rsidR="00093971" w:rsidRPr="00053F22">
        <w:rPr>
          <w:rFonts w:cstheme="minorHAnsi"/>
          <w:lang w:val="en-GB"/>
        </w:rPr>
        <w:t xml:space="preserve"> </w:t>
      </w:r>
      <w:r w:rsidR="00965C00" w:rsidRPr="00053F22">
        <w:rPr>
          <w:rFonts w:cstheme="minorHAnsi"/>
          <w:lang w:val="en-GB"/>
        </w:rPr>
        <w:t xml:space="preserve">or </w:t>
      </w:r>
      <w:r w:rsidR="00093971" w:rsidRPr="00053F22">
        <w:rPr>
          <w:rFonts w:cstheme="minorHAnsi"/>
          <w:lang w:val="en-GB"/>
        </w:rPr>
        <w:t>as some are removed</w:t>
      </w:r>
      <w:r w:rsidRPr="00053F22">
        <w:rPr>
          <w:rFonts w:cstheme="minorHAnsi"/>
          <w:lang w:val="en-GB"/>
        </w:rPr>
        <w:t xml:space="preserve">. </w:t>
      </w:r>
      <w:r w:rsidR="00093971" w:rsidRPr="00053F22">
        <w:rPr>
          <w:rFonts w:cstheme="minorHAnsi"/>
          <w:lang w:val="en-GB"/>
        </w:rPr>
        <w:t xml:space="preserve">Data processing agreements can also be made on a case-specific basis for a fixed term, </w:t>
      </w:r>
      <w:r w:rsidR="00A3366E" w:rsidRPr="00053F22">
        <w:rPr>
          <w:rFonts w:cstheme="minorHAnsi"/>
          <w:lang w:val="en-GB"/>
        </w:rPr>
        <w:t>e.g.</w:t>
      </w:r>
      <w:r w:rsidRPr="00053F22">
        <w:rPr>
          <w:rFonts w:cstheme="minorHAnsi"/>
          <w:lang w:val="en-GB"/>
        </w:rPr>
        <w:t xml:space="preserve"> </w:t>
      </w:r>
      <w:r w:rsidR="00093971" w:rsidRPr="00053F22">
        <w:rPr>
          <w:rFonts w:cstheme="minorHAnsi"/>
          <w:lang w:val="en-GB"/>
        </w:rPr>
        <w:t>for</w:t>
      </w:r>
      <w:r w:rsidR="00F279BA" w:rsidRPr="00053F22">
        <w:rPr>
          <w:rFonts w:cstheme="minorHAnsi"/>
          <w:lang w:val="en-GB"/>
        </w:rPr>
        <w:t xml:space="preserve"> </w:t>
      </w:r>
      <w:r w:rsidR="00093971" w:rsidRPr="00053F22">
        <w:rPr>
          <w:rFonts w:cstheme="minorHAnsi"/>
          <w:lang w:val="en-GB"/>
        </w:rPr>
        <w:t>a transcription service</w:t>
      </w:r>
      <w:r w:rsidRPr="00053F22">
        <w:rPr>
          <w:rFonts w:cstheme="minorHAnsi"/>
          <w:lang w:val="en-GB"/>
        </w:rPr>
        <w:t xml:space="preserve">. </w:t>
      </w:r>
      <w:r w:rsidR="00093971" w:rsidRPr="00053F22">
        <w:rPr>
          <w:rFonts w:cstheme="minorHAnsi"/>
          <w:lang w:val="en-GB"/>
        </w:rPr>
        <w:t xml:space="preserve">In such a case, this is informed to the data subject </w:t>
      </w:r>
      <w:r w:rsidR="00206631">
        <w:rPr>
          <w:rFonts w:cstheme="minorHAnsi"/>
          <w:lang w:val="en-GB"/>
        </w:rPr>
        <w:t>with</w:t>
      </w:r>
      <w:r w:rsidR="00206631" w:rsidRPr="00053F22">
        <w:rPr>
          <w:rFonts w:cstheme="minorHAnsi"/>
          <w:lang w:val="en-GB"/>
        </w:rPr>
        <w:t xml:space="preserve"> </w:t>
      </w:r>
      <w:r w:rsidR="00093971" w:rsidRPr="00053F22">
        <w:rPr>
          <w:rFonts w:cstheme="minorHAnsi"/>
          <w:lang w:val="en-GB"/>
        </w:rPr>
        <w:t xml:space="preserve">the </w:t>
      </w:r>
      <w:r w:rsidR="00206631">
        <w:rPr>
          <w:rFonts w:cstheme="minorHAnsi"/>
          <w:lang w:val="en-GB"/>
        </w:rPr>
        <w:t xml:space="preserve">relevant </w:t>
      </w:r>
      <w:r w:rsidR="00093971" w:rsidRPr="00053F22">
        <w:rPr>
          <w:rFonts w:cstheme="minorHAnsi"/>
          <w:lang w:val="en-GB"/>
        </w:rPr>
        <w:t>privacy notice</w:t>
      </w:r>
      <w:r w:rsidRPr="00053F22">
        <w:rPr>
          <w:rFonts w:cstheme="minorHAnsi"/>
          <w:lang w:val="en-GB"/>
        </w:rPr>
        <w:t>.</w:t>
      </w:r>
    </w:p>
    <w:p w14:paraId="00621D4A" w14:textId="77777777" w:rsidR="002B4E6B" w:rsidRPr="00053F22" w:rsidRDefault="002B4E6B" w:rsidP="00BB1DAB">
      <w:pPr>
        <w:pStyle w:val="ListParagraph"/>
        <w:ind w:left="0"/>
        <w:rPr>
          <w:rFonts w:cstheme="minorHAnsi"/>
          <w:lang w:val="en-GB"/>
        </w:rPr>
      </w:pPr>
    </w:p>
    <w:p w14:paraId="4F0A603F" w14:textId="2F6F3A56" w:rsidR="002B4E6B" w:rsidRPr="00053F22" w:rsidRDefault="003A05BA" w:rsidP="00BB1DAB">
      <w:pPr>
        <w:pStyle w:val="ListParagraph"/>
        <w:ind w:left="0"/>
        <w:rPr>
          <w:lang w:val="en-GB"/>
        </w:rPr>
      </w:pPr>
      <w:r w:rsidRPr="00053F22">
        <w:rPr>
          <w:rFonts w:cstheme="minorHAnsi"/>
          <w:lang w:val="en-GB"/>
        </w:rPr>
        <w:t>F</w:t>
      </w:r>
      <w:r w:rsidR="00206631">
        <w:rPr>
          <w:rFonts w:cstheme="minorHAnsi"/>
          <w:lang w:val="en-GB"/>
        </w:rPr>
        <w:t>or f</w:t>
      </w:r>
      <w:r w:rsidRPr="00053F22">
        <w:rPr>
          <w:rFonts w:cstheme="minorHAnsi"/>
          <w:lang w:val="en-GB"/>
        </w:rPr>
        <w:t>urther information</w:t>
      </w:r>
      <w:r w:rsidR="00206631">
        <w:rPr>
          <w:rFonts w:cstheme="minorHAnsi"/>
          <w:lang w:val="en-GB"/>
        </w:rPr>
        <w:t xml:space="preserve"> or notify about</w:t>
      </w:r>
      <w:r w:rsidRPr="00053F22">
        <w:rPr>
          <w:rFonts w:cstheme="minorHAnsi"/>
          <w:lang w:val="en-GB"/>
        </w:rPr>
        <w:t xml:space="preserve"> possible </w:t>
      </w:r>
      <w:r w:rsidR="00206631">
        <w:rPr>
          <w:rFonts w:cstheme="minorHAnsi"/>
          <w:lang w:val="en-GB"/>
        </w:rPr>
        <w:t>errors or omissions</w:t>
      </w:r>
      <w:r w:rsidR="00F978D0" w:rsidRPr="00053F22">
        <w:rPr>
          <w:rFonts w:cstheme="minorHAnsi"/>
          <w:lang w:val="en-GB"/>
        </w:rPr>
        <w:t>:</w:t>
      </w:r>
      <w:r w:rsidR="002B4E6B" w:rsidRPr="00053F22">
        <w:rPr>
          <w:rFonts w:cstheme="minorHAnsi"/>
          <w:lang w:val="en-GB"/>
        </w:rPr>
        <w:t xml:space="preserve"> tietosuoja@jyu.fi</w:t>
      </w:r>
    </w:p>
    <w:p w14:paraId="5C1B2BDA" w14:textId="77777777" w:rsidR="00EE7B41" w:rsidRPr="00053F22" w:rsidRDefault="00EE7B41" w:rsidP="00BB1DAB">
      <w:pPr>
        <w:pStyle w:val="ListParagraph"/>
        <w:ind w:left="0"/>
        <w:rPr>
          <w:lang w:val="en-GB"/>
        </w:rPr>
      </w:pPr>
    </w:p>
    <w:sectPr w:rsidR="00EE7B41" w:rsidRPr="00053F22" w:rsidSect="00F3736D">
      <w:headerReference w:type="default" r:id="rId26"/>
      <w:footerReference w:type="default" r:id="rId27"/>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ECFE65" w14:textId="77777777" w:rsidR="00795397" w:rsidRDefault="00795397" w:rsidP="00FF62C2">
      <w:pPr>
        <w:spacing w:after="0" w:line="240" w:lineRule="auto"/>
      </w:pPr>
      <w:r>
        <w:separator/>
      </w:r>
    </w:p>
  </w:endnote>
  <w:endnote w:type="continuationSeparator" w:id="0">
    <w:p w14:paraId="584F080A" w14:textId="77777777" w:rsidR="00795397" w:rsidRDefault="00795397" w:rsidP="00FF62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ato">
    <w:panose1 w:val="020F0502020204030203"/>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4359302"/>
      <w:docPartObj>
        <w:docPartGallery w:val="Page Numbers (Bottom of Page)"/>
        <w:docPartUnique/>
      </w:docPartObj>
    </w:sdtPr>
    <w:sdtEndPr/>
    <w:sdtContent>
      <w:p w14:paraId="16EAEBAB" w14:textId="77777777" w:rsidR="002B4E6B" w:rsidRDefault="002B4E6B">
        <w:pPr>
          <w:pStyle w:val="Footer"/>
          <w:jc w:val="right"/>
        </w:pPr>
        <w:r>
          <w:fldChar w:fldCharType="begin"/>
        </w:r>
        <w:r>
          <w:instrText>PAGE   \* MERGEFORMAT</w:instrText>
        </w:r>
        <w:r>
          <w:fldChar w:fldCharType="separate"/>
        </w:r>
        <w:r w:rsidR="009E7B87">
          <w:rPr>
            <w:noProof/>
          </w:rPr>
          <w:t>9</w:t>
        </w:r>
        <w:r>
          <w:fldChar w:fldCharType="end"/>
        </w:r>
      </w:p>
    </w:sdtContent>
  </w:sdt>
  <w:p w14:paraId="4D5FC494" w14:textId="77777777" w:rsidR="002B4E6B" w:rsidRDefault="002B4E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9E6171" w14:textId="77777777" w:rsidR="00795397" w:rsidRDefault="00795397" w:rsidP="00FF62C2">
      <w:pPr>
        <w:spacing w:after="0" w:line="240" w:lineRule="auto"/>
      </w:pPr>
      <w:r>
        <w:separator/>
      </w:r>
    </w:p>
  </w:footnote>
  <w:footnote w:type="continuationSeparator" w:id="0">
    <w:p w14:paraId="7DDF9B9C" w14:textId="77777777" w:rsidR="00795397" w:rsidRDefault="00795397" w:rsidP="00FF62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A732C" w14:textId="61DF543A" w:rsidR="002B4E6B" w:rsidRPr="00AA6DD3" w:rsidRDefault="00AA6DD3" w:rsidP="00AA6DD3">
    <w:pPr>
      <w:pStyle w:val="Header"/>
      <w:rPr>
        <w:b/>
        <w:lang w:val="en-US"/>
      </w:rPr>
    </w:pPr>
    <w:r w:rsidRPr="005A2EC9">
      <w:rPr>
        <w:b/>
        <w:lang w:val="en-US"/>
      </w:rPr>
      <w:t xml:space="preserve">Personal data processors and </w:t>
    </w:r>
    <w:r w:rsidR="009C2781">
      <w:rPr>
        <w:b/>
        <w:lang w:val="en-US"/>
      </w:rPr>
      <w:t xml:space="preserve">personal data </w:t>
    </w:r>
    <w:r w:rsidRPr="005A2EC9">
      <w:rPr>
        <w:b/>
        <w:lang w:val="en-US"/>
      </w:rPr>
      <w:t>transfers outside the EU/EEA area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D5C6F"/>
    <w:multiLevelType w:val="hybridMultilevel"/>
    <w:tmpl w:val="2DDE1D96"/>
    <w:lvl w:ilvl="0" w:tplc="4650FCD4">
      <w:start w:val="1"/>
      <w:numFmt w:val="bullet"/>
      <w:lvlText w:val=""/>
      <w:lvlJc w:val="left"/>
      <w:pPr>
        <w:ind w:left="720" w:hanging="360"/>
      </w:pPr>
      <w:rPr>
        <w:rFonts w:ascii="Symbol" w:hAnsi="Symbol" w:hint="default"/>
        <w:lang w:val="en-US"/>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09AB2400"/>
    <w:multiLevelType w:val="hybridMultilevel"/>
    <w:tmpl w:val="32D6C0EA"/>
    <w:lvl w:ilvl="0" w:tplc="040B000F">
      <w:start w:val="1"/>
      <w:numFmt w:val="decimal"/>
      <w:lvlText w:val="%1."/>
      <w:lvlJc w:val="left"/>
      <w:pPr>
        <w:ind w:left="785"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0CC9295D"/>
    <w:multiLevelType w:val="multilevel"/>
    <w:tmpl w:val="434651F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E7F4567"/>
    <w:multiLevelType w:val="multilevel"/>
    <w:tmpl w:val="7250F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DD1EE1"/>
    <w:multiLevelType w:val="multilevel"/>
    <w:tmpl w:val="A02648D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0A4730E"/>
    <w:multiLevelType w:val="hybridMultilevel"/>
    <w:tmpl w:val="01A0B25A"/>
    <w:lvl w:ilvl="0" w:tplc="040B0011">
      <w:start w:val="1"/>
      <w:numFmt w:val="decimal"/>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6" w15:restartNumberingAfterBreak="0">
    <w:nsid w:val="222237B0"/>
    <w:multiLevelType w:val="hybridMultilevel"/>
    <w:tmpl w:val="A50AF298"/>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7" w15:restartNumberingAfterBreak="0">
    <w:nsid w:val="281E4814"/>
    <w:multiLevelType w:val="hybridMultilevel"/>
    <w:tmpl w:val="0FAECA5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2843598F"/>
    <w:multiLevelType w:val="hybridMultilevel"/>
    <w:tmpl w:val="161A581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8993D91"/>
    <w:multiLevelType w:val="hybridMultilevel"/>
    <w:tmpl w:val="DED07FFE"/>
    <w:lvl w:ilvl="0" w:tplc="43CA0AA6">
      <w:start w:val="20"/>
      <w:numFmt w:val="bullet"/>
      <w:lvlText w:val=""/>
      <w:lvlJc w:val="left"/>
      <w:pPr>
        <w:ind w:left="720" w:hanging="360"/>
      </w:pPr>
      <w:rPr>
        <w:rFonts w:ascii="Wingdings" w:eastAsia="Calibri" w:hAnsi="Wingdings" w:cs="Times New Roman"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10" w15:restartNumberingAfterBreak="0">
    <w:nsid w:val="2AFE068A"/>
    <w:multiLevelType w:val="hybridMultilevel"/>
    <w:tmpl w:val="1E5277DE"/>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1" w15:restartNumberingAfterBreak="0">
    <w:nsid w:val="37783DCA"/>
    <w:multiLevelType w:val="hybridMultilevel"/>
    <w:tmpl w:val="5CDCDB3E"/>
    <w:lvl w:ilvl="0" w:tplc="040B0003">
      <w:start w:val="1"/>
      <w:numFmt w:val="bullet"/>
      <w:lvlText w:val="o"/>
      <w:lvlJc w:val="left"/>
      <w:pPr>
        <w:ind w:left="1854" w:hanging="360"/>
      </w:pPr>
      <w:rPr>
        <w:rFonts w:ascii="Courier New" w:hAnsi="Courier New" w:cs="Courier New" w:hint="default"/>
      </w:rPr>
    </w:lvl>
    <w:lvl w:ilvl="1" w:tplc="040B0003" w:tentative="1">
      <w:start w:val="1"/>
      <w:numFmt w:val="bullet"/>
      <w:lvlText w:val="o"/>
      <w:lvlJc w:val="left"/>
      <w:pPr>
        <w:ind w:left="2574" w:hanging="360"/>
      </w:pPr>
      <w:rPr>
        <w:rFonts w:ascii="Courier New" w:hAnsi="Courier New" w:cs="Courier New" w:hint="default"/>
      </w:rPr>
    </w:lvl>
    <w:lvl w:ilvl="2" w:tplc="040B0005" w:tentative="1">
      <w:start w:val="1"/>
      <w:numFmt w:val="bullet"/>
      <w:lvlText w:val=""/>
      <w:lvlJc w:val="left"/>
      <w:pPr>
        <w:ind w:left="3294" w:hanging="360"/>
      </w:pPr>
      <w:rPr>
        <w:rFonts w:ascii="Wingdings" w:hAnsi="Wingdings" w:hint="default"/>
      </w:rPr>
    </w:lvl>
    <w:lvl w:ilvl="3" w:tplc="040B0001" w:tentative="1">
      <w:start w:val="1"/>
      <w:numFmt w:val="bullet"/>
      <w:lvlText w:val=""/>
      <w:lvlJc w:val="left"/>
      <w:pPr>
        <w:ind w:left="4014" w:hanging="360"/>
      </w:pPr>
      <w:rPr>
        <w:rFonts w:ascii="Symbol" w:hAnsi="Symbol" w:hint="default"/>
      </w:rPr>
    </w:lvl>
    <w:lvl w:ilvl="4" w:tplc="040B0003" w:tentative="1">
      <w:start w:val="1"/>
      <w:numFmt w:val="bullet"/>
      <w:lvlText w:val="o"/>
      <w:lvlJc w:val="left"/>
      <w:pPr>
        <w:ind w:left="4734" w:hanging="360"/>
      </w:pPr>
      <w:rPr>
        <w:rFonts w:ascii="Courier New" w:hAnsi="Courier New" w:cs="Courier New" w:hint="default"/>
      </w:rPr>
    </w:lvl>
    <w:lvl w:ilvl="5" w:tplc="040B0005" w:tentative="1">
      <w:start w:val="1"/>
      <w:numFmt w:val="bullet"/>
      <w:lvlText w:val=""/>
      <w:lvlJc w:val="left"/>
      <w:pPr>
        <w:ind w:left="5454" w:hanging="360"/>
      </w:pPr>
      <w:rPr>
        <w:rFonts w:ascii="Wingdings" w:hAnsi="Wingdings" w:hint="default"/>
      </w:rPr>
    </w:lvl>
    <w:lvl w:ilvl="6" w:tplc="040B0001" w:tentative="1">
      <w:start w:val="1"/>
      <w:numFmt w:val="bullet"/>
      <w:lvlText w:val=""/>
      <w:lvlJc w:val="left"/>
      <w:pPr>
        <w:ind w:left="6174" w:hanging="360"/>
      </w:pPr>
      <w:rPr>
        <w:rFonts w:ascii="Symbol" w:hAnsi="Symbol" w:hint="default"/>
      </w:rPr>
    </w:lvl>
    <w:lvl w:ilvl="7" w:tplc="040B0003" w:tentative="1">
      <w:start w:val="1"/>
      <w:numFmt w:val="bullet"/>
      <w:lvlText w:val="o"/>
      <w:lvlJc w:val="left"/>
      <w:pPr>
        <w:ind w:left="6894" w:hanging="360"/>
      </w:pPr>
      <w:rPr>
        <w:rFonts w:ascii="Courier New" w:hAnsi="Courier New" w:cs="Courier New" w:hint="default"/>
      </w:rPr>
    </w:lvl>
    <w:lvl w:ilvl="8" w:tplc="040B0005" w:tentative="1">
      <w:start w:val="1"/>
      <w:numFmt w:val="bullet"/>
      <w:lvlText w:val=""/>
      <w:lvlJc w:val="left"/>
      <w:pPr>
        <w:ind w:left="7614" w:hanging="360"/>
      </w:pPr>
      <w:rPr>
        <w:rFonts w:ascii="Wingdings" w:hAnsi="Wingdings" w:hint="default"/>
      </w:rPr>
    </w:lvl>
  </w:abstractNum>
  <w:abstractNum w:abstractNumId="12" w15:restartNumberingAfterBreak="0">
    <w:nsid w:val="37C24F3C"/>
    <w:multiLevelType w:val="hybridMultilevel"/>
    <w:tmpl w:val="FC04DF6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39DF5133"/>
    <w:multiLevelType w:val="multilevel"/>
    <w:tmpl w:val="A61E66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A2E2803"/>
    <w:multiLevelType w:val="hybridMultilevel"/>
    <w:tmpl w:val="94C25B44"/>
    <w:lvl w:ilvl="0" w:tplc="E578CE72">
      <w:numFmt w:val="bullet"/>
      <w:lvlText w:val="-"/>
      <w:lvlJc w:val="left"/>
      <w:pPr>
        <w:ind w:left="1080" w:hanging="720"/>
      </w:pPr>
      <w:rPr>
        <w:rFonts w:ascii="Lato" w:eastAsiaTheme="minorHAnsi" w:hAnsi="Lato" w:cstheme="minorBidi" w:hint="default"/>
      </w:rPr>
    </w:lvl>
    <w:lvl w:ilvl="1" w:tplc="9DD0C9A2">
      <w:numFmt w:val="bullet"/>
      <w:lvlText w:val=""/>
      <w:lvlJc w:val="left"/>
      <w:pPr>
        <w:ind w:left="1800" w:hanging="720"/>
      </w:pPr>
      <w:rPr>
        <w:rFonts w:ascii="Symbol" w:eastAsiaTheme="minorHAnsi" w:hAnsi="Symbol" w:cstheme="minorBidi"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15:restartNumberingAfterBreak="0">
    <w:nsid w:val="41F92433"/>
    <w:multiLevelType w:val="hybridMultilevel"/>
    <w:tmpl w:val="6A76A170"/>
    <w:lvl w:ilvl="0" w:tplc="6B203242">
      <w:start w:val="33"/>
      <w:numFmt w:val="bullet"/>
      <w:lvlText w:val=""/>
      <w:lvlJc w:val="left"/>
      <w:pPr>
        <w:ind w:left="720" w:hanging="360"/>
      </w:pPr>
      <w:rPr>
        <w:rFonts w:ascii="Symbol" w:eastAsiaTheme="minorHAnsi" w:hAnsi="Symbol"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4AB547BC"/>
    <w:multiLevelType w:val="hybridMultilevel"/>
    <w:tmpl w:val="857EDBB2"/>
    <w:lvl w:ilvl="0" w:tplc="040B0003">
      <w:start w:val="1"/>
      <w:numFmt w:val="bullet"/>
      <w:lvlText w:val="o"/>
      <w:lvlJc w:val="left"/>
      <w:pPr>
        <w:ind w:left="1854" w:hanging="360"/>
      </w:pPr>
      <w:rPr>
        <w:rFonts w:ascii="Courier New" w:hAnsi="Courier New" w:cs="Courier New" w:hint="default"/>
      </w:rPr>
    </w:lvl>
    <w:lvl w:ilvl="1" w:tplc="040B0003" w:tentative="1">
      <w:start w:val="1"/>
      <w:numFmt w:val="bullet"/>
      <w:lvlText w:val="o"/>
      <w:lvlJc w:val="left"/>
      <w:pPr>
        <w:ind w:left="2574" w:hanging="360"/>
      </w:pPr>
      <w:rPr>
        <w:rFonts w:ascii="Courier New" w:hAnsi="Courier New" w:cs="Courier New" w:hint="default"/>
      </w:rPr>
    </w:lvl>
    <w:lvl w:ilvl="2" w:tplc="040B0005" w:tentative="1">
      <w:start w:val="1"/>
      <w:numFmt w:val="bullet"/>
      <w:lvlText w:val=""/>
      <w:lvlJc w:val="left"/>
      <w:pPr>
        <w:ind w:left="3294" w:hanging="360"/>
      </w:pPr>
      <w:rPr>
        <w:rFonts w:ascii="Wingdings" w:hAnsi="Wingdings" w:hint="default"/>
      </w:rPr>
    </w:lvl>
    <w:lvl w:ilvl="3" w:tplc="040B0001" w:tentative="1">
      <w:start w:val="1"/>
      <w:numFmt w:val="bullet"/>
      <w:lvlText w:val=""/>
      <w:lvlJc w:val="left"/>
      <w:pPr>
        <w:ind w:left="4014" w:hanging="360"/>
      </w:pPr>
      <w:rPr>
        <w:rFonts w:ascii="Symbol" w:hAnsi="Symbol" w:hint="default"/>
      </w:rPr>
    </w:lvl>
    <w:lvl w:ilvl="4" w:tplc="040B0003" w:tentative="1">
      <w:start w:val="1"/>
      <w:numFmt w:val="bullet"/>
      <w:lvlText w:val="o"/>
      <w:lvlJc w:val="left"/>
      <w:pPr>
        <w:ind w:left="4734" w:hanging="360"/>
      </w:pPr>
      <w:rPr>
        <w:rFonts w:ascii="Courier New" w:hAnsi="Courier New" w:cs="Courier New" w:hint="default"/>
      </w:rPr>
    </w:lvl>
    <w:lvl w:ilvl="5" w:tplc="040B0005" w:tentative="1">
      <w:start w:val="1"/>
      <w:numFmt w:val="bullet"/>
      <w:lvlText w:val=""/>
      <w:lvlJc w:val="left"/>
      <w:pPr>
        <w:ind w:left="5454" w:hanging="360"/>
      </w:pPr>
      <w:rPr>
        <w:rFonts w:ascii="Wingdings" w:hAnsi="Wingdings" w:hint="default"/>
      </w:rPr>
    </w:lvl>
    <w:lvl w:ilvl="6" w:tplc="040B0001" w:tentative="1">
      <w:start w:val="1"/>
      <w:numFmt w:val="bullet"/>
      <w:lvlText w:val=""/>
      <w:lvlJc w:val="left"/>
      <w:pPr>
        <w:ind w:left="6174" w:hanging="360"/>
      </w:pPr>
      <w:rPr>
        <w:rFonts w:ascii="Symbol" w:hAnsi="Symbol" w:hint="default"/>
      </w:rPr>
    </w:lvl>
    <w:lvl w:ilvl="7" w:tplc="040B0003" w:tentative="1">
      <w:start w:val="1"/>
      <w:numFmt w:val="bullet"/>
      <w:lvlText w:val="o"/>
      <w:lvlJc w:val="left"/>
      <w:pPr>
        <w:ind w:left="6894" w:hanging="360"/>
      </w:pPr>
      <w:rPr>
        <w:rFonts w:ascii="Courier New" w:hAnsi="Courier New" w:cs="Courier New" w:hint="default"/>
      </w:rPr>
    </w:lvl>
    <w:lvl w:ilvl="8" w:tplc="040B0005" w:tentative="1">
      <w:start w:val="1"/>
      <w:numFmt w:val="bullet"/>
      <w:lvlText w:val=""/>
      <w:lvlJc w:val="left"/>
      <w:pPr>
        <w:ind w:left="7614" w:hanging="360"/>
      </w:pPr>
      <w:rPr>
        <w:rFonts w:ascii="Wingdings" w:hAnsi="Wingdings" w:hint="default"/>
      </w:rPr>
    </w:lvl>
  </w:abstractNum>
  <w:abstractNum w:abstractNumId="17" w15:restartNumberingAfterBreak="0">
    <w:nsid w:val="4F1A6D0A"/>
    <w:multiLevelType w:val="hybridMultilevel"/>
    <w:tmpl w:val="88CEE412"/>
    <w:lvl w:ilvl="0" w:tplc="D5CA43AC">
      <w:numFmt w:val="bullet"/>
      <w:lvlText w:val=""/>
      <w:lvlJc w:val="left"/>
      <w:pPr>
        <w:ind w:left="720" w:hanging="360"/>
      </w:pPr>
      <w:rPr>
        <w:rFonts w:ascii="Wingdings" w:eastAsiaTheme="minorHAnsi" w:hAnsi="Wingdings"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8" w15:restartNumberingAfterBreak="0">
    <w:nsid w:val="5DEA339A"/>
    <w:multiLevelType w:val="hybridMultilevel"/>
    <w:tmpl w:val="06762702"/>
    <w:lvl w:ilvl="0" w:tplc="387C4ECA">
      <w:start w:val="29"/>
      <w:numFmt w:val="bullet"/>
      <w:lvlText w:val=""/>
      <w:lvlJc w:val="left"/>
      <w:pPr>
        <w:ind w:left="720" w:hanging="360"/>
      </w:pPr>
      <w:rPr>
        <w:rFonts w:ascii="Wingdings" w:eastAsiaTheme="minorHAnsi" w:hAnsi="Wingdings"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9" w15:restartNumberingAfterBreak="0">
    <w:nsid w:val="5F4E1147"/>
    <w:multiLevelType w:val="hybridMultilevel"/>
    <w:tmpl w:val="66568850"/>
    <w:lvl w:ilvl="0" w:tplc="C436CF3E">
      <w:start w:val="1"/>
      <w:numFmt w:val="upperLetter"/>
      <w:lvlText w:val="%1."/>
      <w:lvlJc w:val="left"/>
      <w:pPr>
        <w:ind w:left="720" w:hanging="360"/>
      </w:pPr>
      <w:rPr>
        <w:b/>
        <w:bCs/>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0" w15:restartNumberingAfterBreak="0">
    <w:nsid w:val="6EB72191"/>
    <w:multiLevelType w:val="hybridMultilevel"/>
    <w:tmpl w:val="0B2ABA04"/>
    <w:lvl w:ilvl="0" w:tplc="B69635EC">
      <w:start w:val="33"/>
      <w:numFmt w:val="bullet"/>
      <w:lvlText w:val=""/>
      <w:lvlJc w:val="left"/>
      <w:pPr>
        <w:ind w:left="720" w:hanging="360"/>
      </w:pPr>
      <w:rPr>
        <w:rFonts w:ascii="Symbol" w:eastAsiaTheme="minorHAnsi" w:hAnsi="Symbol"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1" w15:restartNumberingAfterBreak="0">
    <w:nsid w:val="70FF36E3"/>
    <w:multiLevelType w:val="hybridMultilevel"/>
    <w:tmpl w:val="AE9E793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2" w15:restartNumberingAfterBreak="0">
    <w:nsid w:val="739F5BB8"/>
    <w:multiLevelType w:val="multilevel"/>
    <w:tmpl w:val="EF3A1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6B60318"/>
    <w:multiLevelType w:val="hybridMultilevel"/>
    <w:tmpl w:val="8E2CCB9A"/>
    <w:lvl w:ilvl="0" w:tplc="024EAE20">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num w:numId="1" w16cid:durableId="1600598794">
    <w:abstractNumId w:val="15"/>
  </w:num>
  <w:num w:numId="2" w16cid:durableId="2020693154">
    <w:abstractNumId w:val="20"/>
  </w:num>
  <w:num w:numId="3" w16cid:durableId="773746193">
    <w:abstractNumId w:val="8"/>
  </w:num>
  <w:num w:numId="4" w16cid:durableId="20598749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67573613">
    <w:abstractNumId w:val="2"/>
  </w:num>
  <w:num w:numId="6" w16cid:durableId="1234972668">
    <w:abstractNumId w:val="3"/>
  </w:num>
  <w:num w:numId="7" w16cid:durableId="7346208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898121">
    <w:abstractNumId w:val="18"/>
  </w:num>
  <w:num w:numId="9" w16cid:durableId="1630745953">
    <w:abstractNumId w:val="14"/>
  </w:num>
  <w:num w:numId="10" w16cid:durableId="413669568">
    <w:abstractNumId w:val="9"/>
  </w:num>
  <w:num w:numId="11" w16cid:durableId="631785697">
    <w:abstractNumId w:val="4"/>
  </w:num>
  <w:num w:numId="12" w16cid:durableId="1510827015">
    <w:abstractNumId w:val="19"/>
  </w:num>
  <w:num w:numId="13" w16cid:durableId="24529122">
    <w:abstractNumId w:val="11"/>
  </w:num>
  <w:num w:numId="14" w16cid:durableId="213976346">
    <w:abstractNumId w:val="16"/>
  </w:num>
  <w:num w:numId="15" w16cid:durableId="920135922">
    <w:abstractNumId w:val="5"/>
  </w:num>
  <w:num w:numId="16" w16cid:durableId="1972243231">
    <w:abstractNumId w:val="13"/>
  </w:num>
  <w:num w:numId="17" w16cid:durableId="665596538">
    <w:abstractNumId w:val="17"/>
  </w:num>
  <w:num w:numId="18" w16cid:durableId="1537619129">
    <w:abstractNumId w:val="1"/>
  </w:num>
  <w:num w:numId="19" w16cid:durableId="786125675">
    <w:abstractNumId w:val="0"/>
  </w:num>
  <w:num w:numId="20" w16cid:durableId="2128698600">
    <w:abstractNumId w:val="21"/>
  </w:num>
  <w:num w:numId="21" w16cid:durableId="816148341">
    <w:abstractNumId w:val="12"/>
  </w:num>
  <w:num w:numId="22" w16cid:durableId="1218399823">
    <w:abstractNumId w:val="22"/>
  </w:num>
  <w:num w:numId="23" w16cid:durableId="1808743042">
    <w:abstractNumId w:val="6"/>
  </w:num>
  <w:num w:numId="24" w16cid:durableId="21009821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642"/>
    <w:rsid w:val="00001F08"/>
    <w:rsid w:val="00011879"/>
    <w:rsid w:val="00011908"/>
    <w:rsid w:val="00014093"/>
    <w:rsid w:val="00022EFF"/>
    <w:rsid w:val="00024B5A"/>
    <w:rsid w:val="00024B7B"/>
    <w:rsid w:val="00026698"/>
    <w:rsid w:val="0003639D"/>
    <w:rsid w:val="000367A0"/>
    <w:rsid w:val="00037B69"/>
    <w:rsid w:val="00041269"/>
    <w:rsid w:val="0004475F"/>
    <w:rsid w:val="000478A9"/>
    <w:rsid w:val="00050D40"/>
    <w:rsid w:val="00053F22"/>
    <w:rsid w:val="00060A6D"/>
    <w:rsid w:val="0006222A"/>
    <w:rsid w:val="00066263"/>
    <w:rsid w:val="0007194E"/>
    <w:rsid w:val="00072A5D"/>
    <w:rsid w:val="00075BAA"/>
    <w:rsid w:val="00093971"/>
    <w:rsid w:val="00093B86"/>
    <w:rsid w:val="000A4010"/>
    <w:rsid w:val="000A765F"/>
    <w:rsid w:val="000A79EF"/>
    <w:rsid w:val="000B42E4"/>
    <w:rsid w:val="000B4AE7"/>
    <w:rsid w:val="000C1081"/>
    <w:rsid w:val="000D04CA"/>
    <w:rsid w:val="000D48CF"/>
    <w:rsid w:val="000D5499"/>
    <w:rsid w:val="000D7215"/>
    <w:rsid w:val="000E466B"/>
    <w:rsid w:val="000E478D"/>
    <w:rsid w:val="000E525F"/>
    <w:rsid w:val="000F0D54"/>
    <w:rsid w:val="000F30D2"/>
    <w:rsid w:val="000F470C"/>
    <w:rsid w:val="000F48C3"/>
    <w:rsid w:val="000F698A"/>
    <w:rsid w:val="001017ED"/>
    <w:rsid w:val="00107E30"/>
    <w:rsid w:val="00110877"/>
    <w:rsid w:val="001108B8"/>
    <w:rsid w:val="00115686"/>
    <w:rsid w:val="00117B05"/>
    <w:rsid w:val="001211EB"/>
    <w:rsid w:val="001215D4"/>
    <w:rsid w:val="00125071"/>
    <w:rsid w:val="00125AF2"/>
    <w:rsid w:val="00127E7F"/>
    <w:rsid w:val="0014794F"/>
    <w:rsid w:val="00155249"/>
    <w:rsid w:val="0015558A"/>
    <w:rsid w:val="00157613"/>
    <w:rsid w:val="00157E0C"/>
    <w:rsid w:val="00160205"/>
    <w:rsid w:val="00165D57"/>
    <w:rsid w:val="00173E41"/>
    <w:rsid w:val="00174767"/>
    <w:rsid w:val="00180BC1"/>
    <w:rsid w:val="00180F3E"/>
    <w:rsid w:val="00183DA5"/>
    <w:rsid w:val="001858FB"/>
    <w:rsid w:val="00194043"/>
    <w:rsid w:val="001954FF"/>
    <w:rsid w:val="00197A0F"/>
    <w:rsid w:val="001A7C6D"/>
    <w:rsid w:val="001D018B"/>
    <w:rsid w:val="001D5AED"/>
    <w:rsid w:val="001E22D3"/>
    <w:rsid w:val="001E63F3"/>
    <w:rsid w:val="001F02F2"/>
    <w:rsid w:val="001F2636"/>
    <w:rsid w:val="001F2A66"/>
    <w:rsid w:val="001F3519"/>
    <w:rsid w:val="00203BEC"/>
    <w:rsid w:val="00206631"/>
    <w:rsid w:val="0021102D"/>
    <w:rsid w:val="00213021"/>
    <w:rsid w:val="00225E0A"/>
    <w:rsid w:val="00232F0F"/>
    <w:rsid w:val="0023400C"/>
    <w:rsid w:val="0023525E"/>
    <w:rsid w:val="00236EDA"/>
    <w:rsid w:val="00241E0B"/>
    <w:rsid w:val="00242331"/>
    <w:rsid w:val="00242FC5"/>
    <w:rsid w:val="00247819"/>
    <w:rsid w:val="0025072A"/>
    <w:rsid w:val="00257CCC"/>
    <w:rsid w:val="00267E61"/>
    <w:rsid w:val="0027444A"/>
    <w:rsid w:val="00281C7D"/>
    <w:rsid w:val="00282665"/>
    <w:rsid w:val="00285CAF"/>
    <w:rsid w:val="0028674B"/>
    <w:rsid w:val="00286DCA"/>
    <w:rsid w:val="00287CB8"/>
    <w:rsid w:val="00290897"/>
    <w:rsid w:val="00291868"/>
    <w:rsid w:val="00292897"/>
    <w:rsid w:val="0029418D"/>
    <w:rsid w:val="00294307"/>
    <w:rsid w:val="002960C5"/>
    <w:rsid w:val="002A6052"/>
    <w:rsid w:val="002A748D"/>
    <w:rsid w:val="002B0146"/>
    <w:rsid w:val="002B4D8D"/>
    <w:rsid w:val="002B4E6B"/>
    <w:rsid w:val="002B5038"/>
    <w:rsid w:val="002B6E48"/>
    <w:rsid w:val="002D0140"/>
    <w:rsid w:val="002D429C"/>
    <w:rsid w:val="002D639B"/>
    <w:rsid w:val="002E2C27"/>
    <w:rsid w:val="002F16F1"/>
    <w:rsid w:val="002F2A80"/>
    <w:rsid w:val="002F58D0"/>
    <w:rsid w:val="003107E2"/>
    <w:rsid w:val="00314AD2"/>
    <w:rsid w:val="00314E5D"/>
    <w:rsid w:val="00322A91"/>
    <w:rsid w:val="00330711"/>
    <w:rsid w:val="00331503"/>
    <w:rsid w:val="0033268F"/>
    <w:rsid w:val="00333F07"/>
    <w:rsid w:val="003372F4"/>
    <w:rsid w:val="0034092D"/>
    <w:rsid w:val="00350940"/>
    <w:rsid w:val="0035528D"/>
    <w:rsid w:val="00355DF3"/>
    <w:rsid w:val="00357095"/>
    <w:rsid w:val="003630F1"/>
    <w:rsid w:val="00370302"/>
    <w:rsid w:val="00382C19"/>
    <w:rsid w:val="00383619"/>
    <w:rsid w:val="003857AB"/>
    <w:rsid w:val="003869C1"/>
    <w:rsid w:val="003879D7"/>
    <w:rsid w:val="00393A17"/>
    <w:rsid w:val="003A05BA"/>
    <w:rsid w:val="003A1291"/>
    <w:rsid w:val="003A4B74"/>
    <w:rsid w:val="003B54C4"/>
    <w:rsid w:val="003B6277"/>
    <w:rsid w:val="003B7448"/>
    <w:rsid w:val="003C5BFB"/>
    <w:rsid w:val="003C5DC5"/>
    <w:rsid w:val="003D1247"/>
    <w:rsid w:val="003D318C"/>
    <w:rsid w:val="003D3DE1"/>
    <w:rsid w:val="003D5ABB"/>
    <w:rsid w:val="003D5CB3"/>
    <w:rsid w:val="003D64FF"/>
    <w:rsid w:val="003E3971"/>
    <w:rsid w:val="003F0B0C"/>
    <w:rsid w:val="003F465B"/>
    <w:rsid w:val="003F4AC7"/>
    <w:rsid w:val="0040586E"/>
    <w:rsid w:val="00414F4E"/>
    <w:rsid w:val="00420BEF"/>
    <w:rsid w:val="00421E35"/>
    <w:rsid w:val="00424EA1"/>
    <w:rsid w:val="004265D1"/>
    <w:rsid w:val="00431461"/>
    <w:rsid w:val="00447B45"/>
    <w:rsid w:val="00451AD1"/>
    <w:rsid w:val="00454A23"/>
    <w:rsid w:val="00461F66"/>
    <w:rsid w:val="004648A4"/>
    <w:rsid w:val="00464DF1"/>
    <w:rsid w:val="0047666D"/>
    <w:rsid w:val="00476CC6"/>
    <w:rsid w:val="004831DF"/>
    <w:rsid w:val="0049037D"/>
    <w:rsid w:val="00490839"/>
    <w:rsid w:val="00491BCA"/>
    <w:rsid w:val="00491F88"/>
    <w:rsid w:val="00493887"/>
    <w:rsid w:val="0049620A"/>
    <w:rsid w:val="00497934"/>
    <w:rsid w:val="004A3674"/>
    <w:rsid w:val="004B7102"/>
    <w:rsid w:val="004C098B"/>
    <w:rsid w:val="004C13B8"/>
    <w:rsid w:val="004C1BD1"/>
    <w:rsid w:val="004C67F6"/>
    <w:rsid w:val="004C78D6"/>
    <w:rsid w:val="004D3C8B"/>
    <w:rsid w:val="004E1211"/>
    <w:rsid w:val="004E1E11"/>
    <w:rsid w:val="004E4F23"/>
    <w:rsid w:val="004E77D6"/>
    <w:rsid w:val="004F0278"/>
    <w:rsid w:val="004F7040"/>
    <w:rsid w:val="00502BC9"/>
    <w:rsid w:val="00504DDB"/>
    <w:rsid w:val="00505FEC"/>
    <w:rsid w:val="00511A51"/>
    <w:rsid w:val="00526C56"/>
    <w:rsid w:val="00526D2B"/>
    <w:rsid w:val="00527FC7"/>
    <w:rsid w:val="005369DA"/>
    <w:rsid w:val="00537716"/>
    <w:rsid w:val="00542E89"/>
    <w:rsid w:val="00543F6D"/>
    <w:rsid w:val="0054565E"/>
    <w:rsid w:val="005478B7"/>
    <w:rsid w:val="005552F9"/>
    <w:rsid w:val="00560B24"/>
    <w:rsid w:val="00562BA9"/>
    <w:rsid w:val="005707B1"/>
    <w:rsid w:val="0057367C"/>
    <w:rsid w:val="005744DE"/>
    <w:rsid w:val="00590A8C"/>
    <w:rsid w:val="00590B3F"/>
    <w:rsid w:val="005948FB"/>
    <w:rsid w:val="00597AC5"/>
    <w:rsid w:val="005A09A6"/>
    <w:rsid w:val="005A2EC9"/>
    <w:rsid w:val="005A50C3"/>
    <w:rsid w:val="005A6BA5"/>
    <w:rsid w:val="005B5D3D"/>
    <w:rsid w:val="005B66D9"/>
    <w:rsid w:val="005B78DD"/>
    <w:rsid w:val="005C0EBB"/>
    <w:rsid w:val="005C16BD"/>
    <w:rsid w:val="005C6EAC"/>
    <w:rsid w:val="005D7F93"/>
    <w:rsid w:val="005E07E9"/>
    <w:rsid w:val="005E3C1D"/>
    <w:rsid w:val="005E66ED"/>
    <w:rsid w:val="005F1533"/>
    <w:rsid w:val="00601AF0"/>
    <w:rsid w:val="006154FA"/>
    <w:rsid w:val="00620ED8"/>
    <w:rsid w:val="0062185B"/>
    <w:rsid w:val="00624C1E"/>
    <w:rsid w:val="00633B3A"/>
    <w:rsid w:val="00635A64"/>
    <w:rsid w:val="006370D4"/>
    <w:rsid w:val="00637583"/>
    <w:rsid w:val="00637DE2"/>
    <w:rsid w:val="00643CD8"/>
    <w:rsid w:val="00650B39"/>
    <w:rsid w:val="00650EEA"/>
    <w:rsid w:val="00654881"/>
    <w:rsid w:val="00663FBA"/>
    <w:rsid w:val="006651E7"/>
    <w:rsid w:val="00670866"/>
    <w:rsid w:val="00674C29"/>
    <w:rsid w:val="00681270"/>
    <w:rsid w:val="00683593"/>
    <w:rsid w:val="00687786"/>
    <w:rsid w:val="0069462C"/>
    <w:rsid w:val="006A2317"/>
    <w:rsid w:val="006A4639"/>
    <w:rsid w:val="006B7502"/>
    <w:rsid w:val="006B7871"/>
    <w:rsid w:val="006C2FF5"/>
    <w:rsid w:val="006C57D8"/>
    <w:rsid w:val="006D3833"/>
    <w:rsid w:val="006D7E5B"/>
    <w:rsid w:val="006F60A8"/>
    <w:rsid w:val="006F7A2A"/>
    <w:rsid w:val="00704149"/>
    <w:rsid w:val="00710D5C"/>
    <w:rsid w:val="00710E6F"/>
    <w:rsid w:val="007213EC"/>
    <w:rsid w:val="00726B9E"/>
    <w:rsid w:val="00727FEE"/>
    <w:rsid w:val="0073145E"/>
    <w:rsid w:val="00734C00"/>
    <w:rsid w:val="0073551D"/>
    <w:rsid w:val="007372DC"/>
    <w:rsid w:val="007377DB"/>
    <w:rsid w:val="00737981"/>
    <w:rsid w:val="007433B8"/>
    <w:rsid w:val="00773CF4"/>
    <w:rsid w:val="00780238"/>
    <w:rsid w:val="00780441"/>
    <w:rsid w:val="007837CA"/>
    <w:rsid w:val="00784310"/>
    <w:rsid w:val="00791D60"/>
    <w:rsid w:val="00794FB2"/>
    <w:rsid w:val="00795397"/>
    <w:rsid w:val="00797AD6"/>
    <w:rsid w:val="007A015F"/>
    <w:rsid w:val="007A0257"/>
    <w:rsid w:val="007A087D"/>
    <w:rsid w:val="007A1A0E"/>
    <w:rsid w:val="007A1CD4"/>
    <w:rsid w:val="007A233E"/>
    <w:rsid w:val="007A367E"/>
    <w:rsid w:val="007A529A"/>
    <w:rsid w:val="007B2A40"/>
    <w:rsid w:val="007B5FDA"/>
    <w:rsid w:val="007B6350"/>
    <w:rsid w:val="007B6BA2"/>
    <w:rsid w:val="007B7F2D"/>
    <w:rsid w:val="007C10DC"/>
    <w:rsid w:val="007C24D6"/>
    <w:rsid w:val="007C5839"/>
    <w:rsid w:val="007C736C"/>
    <w:rsid w:val="007D1929"/>
    <w:rsid w:val="007D4D52"/>
    <w:rsid w:val="007D71F2"/>
    <w:rsid w:val="007E1F0F"/>
    <w:rsid w:val="007E4667"/>
    <w:rsid w:val="007E6DA5"/>
    <w:rsid w:val="007F6FE6"/>
    <w:rsid w:val="0080232E"/>
    <w:rsid w:val="0080354F"/>
    <w:rsid w:val="00804CA9"/>
    <w:rsid w:val="0080718D"/>
    <w:rsid w:val="00812885"/>
    <w:rsid w:val="008171F9"/>
    <w:rsid w:val="0082041B"/>
    <w:rsid w:val="00820E11"/>
    <w:rsid w:val="00823830"/>
    <w:rsid w:val="0083400F"/>
    <w:rsid w:val="0083444F"/>
    <w:rsid w:val="00835420"/>
    <w:rsid w:val="008445CA"/>
    <w:rsid w:val="00847FE0"/>
    <w:rsid w:val="00853EAD"/>
    <w:rsid w:val="008574A4"/>
    <w:rsid w:val="00860335"/>
    <w:rsid w:val="00865F91"/>
    <w:rsid w:val="008702EA"/>
    <w:rsid w:val="0087034C"/>
    <w:rsid w:val="00881E2F"/>
    <w:rsid w:val="00891F89"/>
    <w:rsid w:val="00892607"/>
    <w:rsid w:val="0089317D"/>
    <w:rsid w:val="00896811"/>
    <w:rsid w:val="00896FCB"/>
    <w:rsid w:val="008A3748"/>
    <w:rsid w:val="008B4DDC"/>
    <w:rsid w:val="008C04D5"/>
    <w:rsid w:val="008C0AEA"/>
    <w:rsid w:val="008C2934"/>
    <w:rsid w:val="008C36FC"/>
    <w:rsid w:val="008C7ADB"/>
    <w:rsid w:val="008D0F19"/>
    <w:rsid w:val="008D169B"/>
    <w:rsid w:val="008D2824"/>
    <w:rsid w:val="008D5C1A"/>
    <w:rsid w:val="008E0BB0"/>
    <w:rsid w:val="008E488D"/>
    <w:rsid w:val="008E5418"/>
    <w:rsid w:val="008E6E9C"/>
    <w:rsid w:val="008F29F7"/>
    <w:rsid w:val="008F30BF"/>
    <w:rsid w:val="008F598E"/>
    <w:rsid w:val="0090660F"/>
    <w:rsid w:val="009114B4"/>
    <w:rsid w:val="00916B2A"/>
    <w:rsid w:val="00916D74"/>
    <w:rsid w:val="0092202A"/>
    <w:rsid w:val="00922DBE"/>
    <w:rsid w:val="0092423F"/>
    <w:rsid w:val="0093029C"/>
    <w:rsid w:val="00932F36"/>
    <w:rsid w:val="00933A49"/>
    <w:rsid w:val="00942D55"/>
    <w:rsid w:val="00944335"/>
    <w:rsid w:val="00946887"/>
    <w:rsid w:val="0094722C"/>
    <w:rsid w:val="009516B9"/>
    <w:rsid w:val="00952E2A"/>
    <w:rsid w:val="00952FAD"/>
    <w:rsid w:val="00956B2A"/>
    <w:rsid w:val="00965C00"/>
    <w:rsid w:val="009672BF"/>
    <w:rsid w:val="009713D0"/>
    <w:rsid w:val="00984C7C"/>
    <w:rsid w:val="009958AD"/>
    <w:rsid w:val="009960D0"/>
    <w:rsid w:val="00997A35"/>
    <w:rsid w:val="009A058F"/>
    <w:rsid w:val="009B0284"/>
    <w:rsid w:val="009B62A5"/>
    <w:rsid w:val="009C2781"/>
    <w:rsid w:val="009C2AF3"/>
    <w:rsid w:val="009C4B17"/>
    <w:rsid w:val="009D37A8"/>
    <w:rsid w:val="009D7796"/>
    <w:rsid w:val="009E0059"/>
    <w:rsid w:val="009E7B87"/>
    <w:rsid w:val="009F16E6"/>
    <w:rsid w:val="009F3E7A"/>
    <w:rsid w:val="009F4F14"/>
    <w:rsid w:val="009F5D20"/>
    <w:rsid w:val="00A10296"/>
    <w:rsid w:val="00A10EEB"/>
    <w:rsid w:val="00A135CE"/>
    <w:rsid w:val="00A16FAF"/>
    <w:rsid w:val="00A17219"/>
    <w:rsid w:val="00A23225"/>
    <w:rsid w:val="00A25701"/>
    <w:rsid w:val="00A3366E"/>
    <w:rsid w:val="00A33912"/>
    <w:rsid w:val="00A34248"/>
    <w:rsid w:val="00A3602E"/>
    <w:rsid w:val="00A4132E"/>
    <w:rsid w:val="00A415A2"/>
    <w:rsid w:val="00A42A1A"/>
    <w:rsid w:val="00A535A6"/>
    <w:rsid w:val="00A55544"/>
    <w:rsid w:val="00A5765A"/>
    <w:rsid w:val="00A63EA2"/>
    <w:rsid w:val="00A66ED1"/>
    <w:rsid w:val="00A7190F"/>
    <w:rsid w:val="00A71F0F"/>
    <w:rsid w:val="00A7389A"/>
    <w:rsid w:val="00A738E1"/>
    <w:rsid w:val="00A746C2"/>
    <w:rsid w:val="00A8000B"/>
    <w:rsid w:val="00A81136"/>
    <w:rsid w:val="00A82D0C"/>
    <w:rsid w:val="00A82D52"/>
    <w:rsid w:val="00A8699B"/>
    <w:rsid w:val="00A87277"/>
    <w:rsid w:val="00A923B9"/>
    <w:rsid w:val="00A92D9A"/>
    <w:rsid w:val="00A950E2"/>
    <w:rsid w:val="00AA0014"/>
    <w:rsid w:val="00AA0A08"/>
    <w:rsid w:val="00AA10AA"/>
    <w:rsid w:val="00AA391D"/>
    <w:rsid w:val="00AA4755"/>
    <w:rsid w:val="00AA6DD3"/>
    <w:rsid w:val="00AB2FC1"/>
    <w:rsid w:val="00AC4561"/>
    <w:rsid w:val="00AD0B44"/>
    <w:rsid w:val="00AD7F20"/>
    <w:rsid w:val="00AE70C2"/>
    <w:rsid w:val="00AF0149"/>
    <w:rsid w:val="00AF4AC9"/>
    <w:rsid w:val="00AF7AC3"/>
    <w:rsid w:val="00B10569"/>
    <w:rsid w:val="00B110FC"/>
    <w:rsid w:val="00B15A41"/>
    <w:rsid w:val="00B16F8C"/>
    <w:rsid w:val="00B326B9"/>
    <w:rsid w:val="00B34A80"/>
    <w:rsid w:val="00B34DF3"/>
    <w:rsid w:val="00B41AB2"/>
    <w:rsid w:val="00B4407A"/>
    <w:rsid w:val="00B44EB7"/>
    <w:rsid w:val="00B508CB"/>
    <w:rsid w:val="00B62C8D"/>
    <w:rsid w:val="00B63A06"/>
    <w:rsid w:val="00B6621F"/>
    <w:rsid w:val="00B705F4"/>
    <w:rsid w:val="00B80802"/>
    <w:rsid w:val="00B83642"/>
    <w:rsid w:val="00B92EF3"/>
    <w:rsid w:val="00B94AD5"/>
    <w:rsid w:val="00B96909"/>
    <w:rsid w:val="00BA13DF"/>
    <w:rsid w:val="00BB04B2"/>
    <w:rsid w:val="00BB1DAB"/>
    <w:rsid w:val="00BB4F62"/>
    <w:rsid w:val="00BB6CE0"/>
    <w:rsid w:val="00BC6F9C"/>
    <w:rsid w:val="00BE118E"/>
    <w:rsid w:val="00BE2ACA"/>
    <w:rsid w:val="00BE2D20"/>
    <w:rsid w:val="00BE3367"/>
    <w:rsid w:val="00BF4CA0"/>
    <w:rsid w:val="00BF585A"/>
    <w:rsid w:val="00C00794"/>
    <w:rsid w:val="00C039A0"/>
    <w:rsid w:val="00C04627"/>
    <w:rsid w:val="00C1263D"/>
    <w:rsid w:val="00C13DB9"/>
    <w:rsid w:val="00C14994"/>
    <w:rsid w:val="00C1720A"/>
    <w:rsid w:val="00C22804"/>
    <w:rsid w:val="00C24A09"/>
    <w:rsid w:val="00C32747"/>
    <w:rsid w:val="00C3751E"/>
    <w:rsid w:val="00C45810"/>
    <w:rsid w:val="00C5277D"/>
    <w:rsid w:val="00C53685"/>
    <w:rsid w:val="00C5435D"/>
    <w:rsid w:val="00C6715E"/>
    <w:rsid w:val="00C7304B"/>
    <w:rsid w:val="00C862E4"/>
    <w:rsid w:val="00C86ED9"/>
    <w:rsid w:val="00C91703"/>
    <w:rsid w:val="00CA1F53"/>
    <w:rsid w:val="00CA318F"/>
    <w:rsid w:val="00CA3F21"/>
    <w:rsid w:val="00CA4508"/>
    <w:rsid w:val="00CC0894"/>
    <w:rsid w:val="00CD08CE"/>
    <w:rsid w:val="00CE3B02"/>
    <w:rsid w:val="00CE5F3A"/>
    <w:rsid w:val="00CE7B28"/>
    <w:rsid w:val="00CF3F8A"/>
    <w:rsid w:val="00CF55AA"/>
    <w:rsid w:val="00D055F0"/>
    <w:rsid w:val="00D11265"/>
    <w:rsid w:val="00D13152"/>
    <w:rsid w:val="00D1398B"/>
    <w:rsid w:val="00D16272"/>
    <w:rsid w:val="00D173D8"/>
    <w:rsid w:val="00D23AEF"/>
    <w:rsid w:val="00D270E4"/>
    <w:rsid w:val="00D27BFD"/>
    <w:rsid w:val="00D30535"/>
    <w:rsid w:val="00D32192"/>
    <w:rsid w:val="00D4099D"/>
    <w:rsid w:val="00D40BF9"/>
    <w:rsid w:val="00D42943"/>
    <w:rsid w:val="00D4694A"/>
    <w:rsid w:val="00D53F12"/>
    <w:rsid w:val="00D5517D"/>
    <w:rsid w:val="00D565A4"/>
    <w:rsid w:val="00D71893"/>
    <w:rsid w:val="00D81F92"/>
    <w:rsid w:val="00D96296"/>
    <w:rsid w:val="00D97786"/>
    <w:rsid w:val="00DA6302"/>
    <w:rsid w:val="00DB352A"/>
    <w:rsid w:val="00DB3F4C"/>
    <w:rsid w:val="00DC1DFF"/>
    <w:rsid w:val="00DC3418"/>
    <w:rsid w:val="00DC4138"/>
    <w:rsid w:val="00DD30FC"/>
    <w:rsid w:val="00DE096B"/>
    <w:rsid w:val="00DE1456"/>
    <w:rsid w:val="00DE3CD8"/>
    <w:rsid w:val="00DE48B8"/>
    <w:rsid w:val="00DE6E47"/>
    <w:rsid w:val="00DE7C72"/>
    <w:rsid w:val="00DF055A"/>
    <w:rsid w:val="00DF65CE"/>
    <w:rsid w:val="00E01F46"/>
    <w:rsid w:val="00E0338C"/>
    <w:rsid w:val="00E03B50"/>
    <w:rsid w:val="00E05965"/>
    <w:rsid w:val="00E07B1E"/>
    <w:rsid w:val="00E1057D"/>
    <w:rsid w:val="00E16FA0"/>
    <w:rsid w:val="00E17143"/>
    <w:rsid w:val="00E174A3"/>
    <w:rsid w:val="00E23ED5"/>
    <w:rsid w:val="00E25B29"/>
    <w:rsid w:val="00E30666"/>
    <w:rsid w:val="00E36076"/>
    <w:rsid w:val="00E36424"/>
    <w:rsid w:val="00E41309"/>
    <w:rsid w:val="00E46853"/>
    <w:rsid w:val="00E5020E"/>
    <w:rsid w:val="00E505BA"/>
    <w:rsid w:val="00E50DE9"/>
    <w:rsid w:val="00E5243F"/>
    <w:rsid w:val="00E52A34"/>
    <w:rsid w:val="00E55A4B"/>
    <w:rsid w:val="00E60A87"/>
    <w:rsid w:val="00E64095"/>
    <w:rsid w:val="00E647FD"/>
    <w:rsid w:val="00E65286"/>
    <w:rsid w:val="00E65CF7"/>
    <w:rsid w:val="00E6610D"/>
    <w:rsid w:val="00E721B4"/>
    <w:rsid w:val="00E7275A"/>
    <w:rsid w:val="00E7339B"/>
    <w:rsid w:val="00E73D4D"/>
    <w:rsid w:val="00E80751"/>
    <w:rsid w:val="00E85642"/>
    <w:rsid w:val="00E9538A"/>
    <w:rsid w:val="00E96369"/>
    <w:rsid w:val="00EA133B"/>
    <w:rsid w:val="00EA3846"/>
    <w:rsid w:val="00EA7390"/>
    <w:rsid w:val="00EB4756"/>
    <w:rsid w:val="00EB5041"/>
    <w:rsid w:val="00EC5875"/>
    <w:rsid w:val="00ED0FBF"/>
    <w:rsid w:val="00ED1DD4"/>
    <w:rsid w:val="00ED48D7"/>
    <w:rsid w:val="00EE49FF"/>
    <w:rsid w:val="00EE77EB"/>
    <w:rsid w:val="00EE7B41"/>
    <w:rsid w:val="00EF5705"/>
    <w:rsid w:val="00F00346"/>
    <w:rsid w:val="00F01F43"/>
    <w:rsid w:val="00F032B3"/>
    <w:rsid w:val="00F03B05"/>
    <w:rsid w:val="00F24D0D"/>
    <w:rsid w:val="00F279BA"/>
    <w:rsid w:val="00F3322D"/>
    <w:rsid w:val="00F34A13"/>
    <w:rsid w:val="00F3736D"/>
    <w:rsid w:val="00F3779D"/>
    <w:rsid w:val="00F41EF5"/>
    <w:rsid w:val="00F51D55"/>
    <w:rsid w:val="00F62287"/>
    <w:rsid w:val="00F63354"/>
    <w:rsid w:val="00F66883"/>
    <w:rsid w:val="00F8615D"/>
    <w:rsid w:val="00F90FDC"/>
    <w:rsid w:val="00F9746B"/>
    <w:rsid w:val="00F978D0"/>
    <w:rsid w:val="00FB6399"/>
    <w:rsid w:val="00FC2400"/>
    <w:rsid w:val="00FD0A9C"/>
    <w:rsid w:val="00FD4A58"/>
    <w:rsid w:val="00FD4F5A"/>
    <w:rsid w:val="00FD7CBC"/>
    <w:rsid w:val="00FE3CC6"/>
    <w:rsid w:val="00FE7B8D"/>
    <w:rsid w:val="00FF62C2"/>
    <w:rsid w:val="00FF650D"/>
    <w:rsid w:val="00FF7D02"/>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A72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433B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8F30BF"/>
    <w:pPr>
      <w:spacing w:before="100" w:beforeAutospacing="1" w:after="100" w:afterAutospacing="1" w:line="240" w:lineRule="auto"/>
      <w:outlineLvl w:val="1"/>
    </w:pPr>
    <w:rPr>
      <w:rFonts w:ascii="Times New Roman" w:eastAsia="Times New Roman" w:hAnsi="Times New Roman" w:cs="Times New Roman"/>
      <w:b/>
      <w:bCs/>
      <w:sz w:val="36"/>
      <w:szCs w:val="36"/>
      <w:lang w:eastAsia="fi-F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836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672BF"/>
    <w:pPr>
      <w:ind w:left="720"/>
      <w:contextualSpacing/>
    </w:pPr>
  </w:style>
  <w:style w:type="paragraph" w:styleId="Header">
    <w:name w:val="header"/>
    <w:basedOn w:val="Normal"/>
    <w:link w:val="HeaderChar"/>
    <w:uiPriority w:val="99"/>
    <w:unhideWhenUsed/>
    <w:rsid w:val="00FF62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F62C2"/>
  </w:style>
  <w:style w:type="paragraph" w:styleId="Footer">
    <w:name w:val="footer"/>
    <w:basedOn w:val="Normal"/>
    <w:link w:val="FooterChar"/>
    <w:uiPriority w:val="99"/>
    <w:unhideWhenUsed/>
    <w:rsid w:val="00FF62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F62C2"/>
  </w:style>
  <w:style w:type="character" w:styleId="Hyperlink">
    <w:name w:val="Hyperlink"/>
    <w:basedOn w:val="DefaultParagraphFont"/>
    <w:uiPriority w:val="99"/>
    <w:unhideWhenUsed/>
    <w:rsid w:val="00820E11"/>
    <w:rPr>
      <w:color w:val="0563C1"/>
      <w:u w:val="single"/>
    </w:rPr>
  </w:style>
  <w:style w:type="character" w:customStyle="1" w:styleId="ProductList-BodyChar">
    <w:name w:val="Product List - Body Char"/>
    <w:basedOn w:val="DefaultParagraphFont"/>
    <w:link w:val="ProductList-Body"/>
    <w:locked/>
    <w:rsid w:val="00820E11"/>
  </w:style>
  <w:style w:type="paragraph" w:customStyle="1" w:styleId="ProductList-Body">
    <w:name w:val="Product List - Body"/>
    <w:basedOn w:val="Normal"/>
    <w:link w:val="ProductList-BodyChar"/>
    <w:rsid w:val="00820E11"/>
    <w:pPr>
      <w:spacing w:after="0" w:line="240" w:lineRule="auto"/>
    </w:pPr>
  </w:style>
  <w:style w:type="paragraph" w:customStyle="1" w:styleId="ProductList-ClauseHeading">
    <w:name w:val="Product List - Clause Heading"/>
    <w:basedOn w:val="Normal"/>
    <w:rsid w:val="00820E11"/>
    <w:pPr>
      <w:keepNext/>
      <w:spacing w:after="0" w:line="240" w:lineRule="auto"/>
    </w:pPr>
    <w:rPr>
      <w:rFonts w:ascii="Times New Roman" w:hAnsi="Times New Roman" w:cs="Times New Roman"/>
      <w:b/>
      <w:bCs/>
      <w:color w:val="00188F"/>
      <w:sz w:val="18"/>
      <w:szCs w:val="18"/>
      <w:lang w:eastAsia="fi-FI"/>
    </w:rPr>
  </w:style>
  <w:style w:type="paragraph" w:customStyle="1" w:styleId="paragraph">
    <w:name w:val="paragraph"/>
    <w:basedOn w:val="Normal"/>
    <w:rsid w:val="0021102D"/>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customStyle="1" w:styleId="normaltextrun">
    <w:name w:val="normaltextrun"/>
    <w:basedOn w:val="DefaultParagraphFont"/>
    <w:rsid w:val="0021102D"/>
  </w:style>
  <w:style w:type="character" w:customStyle="1" w:styleId="eop">
    <w:name w:val="eop"/>
    <w:basedOn w:val="DefaultParagraphFont"/>
    <w:rsid w:val="0021102D"/>
  </w:style>
  <w:style w:type="character" w:customStyle="1" w:styleId="findhit">
    <w:name w:val="findhit"/>
    <w:basedOn w:val="DefaultParagraphFont"/>
    <w:rsid w:val="0021102D"/>
  </w:style>
  <w:style w:type="paragraph" w:styleId="NormalWeb">
    <w:name w:val="Normal (Web)"/>
    <w:basedOn w:val="Normal"/>
    <w:uiPriority w:val="99"/>
    <w:semiHidden/>
    <w:unhideWhenUsed/>
    <w:rsid w:val="00A82D52"/>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styleId="FollowedHyperlink">
    <w:name w:val="FollowedHyperlink"/>
    <w:basedOn w:val="DefaultParagraphFont"/>
    <w:uiPriority w:val="99"/>
    <w:semiHidden/>
    <w:unhideWhenUsed/>
    <w:rsid w:val="002A6052"/>
    <w:rPr>
      <w:color w:val="954F72" w:themeColor="followedHyperlink"/>
      <w:u w:val="single"/>
    </w:rPr>
  </w:style>
  <w:style w:type="paragraph" w:styleId="PlainText">
    <w:name w:val="Plain Text"/>
    <w:basedOn w:val="Normal"/>
    <w:link w:val="PlainTextChar"/>
    <w:uiPriority w:val="99"/>
    <w:semiHidden/>
    <w:unhideWhenUsed/>
    <w:rsid w:val="005B66D9"/>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5B66D9"/>
    <w:rPr>
      <w:rFonts w:ascii="Calibri" w:hAnsi="Calibri"/>
      <w:szCs w:val="21"/>
    </w:rPr>
  </w:style>
  <w:style w:type="character" w:customStyle="1" w:styleId="Heading2Char">
    <w:name w:val="Heading 2 Char"/>
    <w:basedOn w:val="DefaultParagraphFont"/>
    <w:link w:val="Heading2"/>
    <w:uiPriority w:val="9"/>
    <w:rsid w:val="008F30BF"/>
    <w:rPr>
      <w:rFonts w:ascii="Times New Roman" w:eastAsia="Times New Roman" w:hAnsi="Times New Roman" w:cs="Times New Roman"/>
      <w:b/>
      <w:bCs/>
      <w:sz w:val="36"/>
      <w:szCs w:val="36"/>
      <w:lang w:eastAsia="fi-FI"/>
    </w:rPr>
  </w:style>
  <w:style w:type="paragraph" w:customStyle="1" w:styleId="xmsonormal">
    <w:name w:val="x_msonormal"/>
    <w:basedOn w:val="Normal"/>
    <w:rsid w:val="00E07B1E"/>
    <w:pPr>
      <w:spacing w:after="0" w:line="240" w:lineRule="auto"/>
    </w:pPr>
    <w:rPr>
      <w:rFonts w:ascii="Times New Roman" w:hAnsi="Times New Roman" w:cs="Times New Roman"/>
      <w:sz w:val="24"/>
      <w:szCs w:val="24"/>
      <w:lang w:eastAsia="fi-FI"/>
    </w:rPr>
  </w:style>
  <w:style w:type="character" w:customStyle="1" w:styleId="DbodynormalChar">
    <w:name w:val="D_body normal Char"/>
    <w:basedOn w:val="DefaultParagraphFont"/>
    <w:link w:val="Dbodynormal"/>
    <w:rsid w:val="003857AB"/>
    <w:rPr>
      <w:rFonts w:ascii="Arial" w:hAnsi="Arial"/>
      <w:sz w:val="20"/>
      <w:szCs w:val="20"/>
    </w:rPr>
  </w:style>
  <w:style w:type="paragraph" w:customStyle="1" w:styleId="Dbodynormal">
    <w:name w:val="D_body normal"/>
    <w:basedOn w:val="Normal"/>
    <w:link w:val="DbodynormalChar"/>
    <w:qFormat/>
    <w:rsid w:val="003857AB"/>
    <w:pPr>
      <w:keepLines/>
      <w:spacing w:before="200" w:after="0" w:line="280" w:lineRule="exact"/>
      <w:ind w:left="1134"/>
      <w:jc w:val="both"/>
    </w:pPr>
    <w:rPr>
      <w:rFonts w:ascii="Arial" w:hAnsi="Arial"/>
      <w:sz w:val="20"/>
      <w:szCs w:val="20"/>
    </w:rPr>
  </w:style>
  <w:style w:type="paragraph" w:customStyle="1" w:styleId="Dbodynormalnospacing">
    <w:name w:val="D_body normal no spacing"/>
    <w:basedOn w:val="Normal"/>
    <w:link w:val="DbodynormalnospacingChar"/>
    <w:qFormat/>
    <w:rsid w:val="003857AB"/>
    <w:pPr>
      <w:keepLines/>
      <w:spacing w:after="0" w:line="240" w:lineRule="auto"/>
      <w:ind w:left="1134"/>
      <w:contextualSpacing/>
      <w:jc w:val="both"/>
    </w:pPr>
    <w:rPr>
      <w:rFonts w:ascii="Arial" w:hAnsi="Arial"/>
      <w:sz w:val="20"/>
      <w:szCs w:val="20"/>
    </w:rPr>
  </w:style>
  <w:style w:type="character" w:customStyle="1" w:styleId="DbodynormalnospacingChar">
    <w:name w:val="D_body normal no spacing Char"/>
    <w:basedOn w:val="DefaultParagraphFont"/>
    <w:link w:val="Dbodynormalnospacing"/>
    <w:rsid w:val="003857AB"/>
    <w:rPr>
      <w:rFonts w:ascii="Arial" w:hAnsi="Arial"/>
      <w:sz w:val="20"/>
      <w:szCs w:val="20"/>
    </w:rPr>
  </w:style>
  <w:style w:type="paragraph" w:customStyle="1" w:styleId="Dtitle3">
    <w:name w:val="D_title 3"/>
    <w:basedOn w:val="Normal"/>
    <w:next w:val="Dbodynormal"/>
    <w:link w:val="Dtitle3Char"/>
    <w:qFormat/>
    <w:rsid w:val="003857AB"/>
    <w:pPr>
      <w:keepNext/>
      <w:keepLines/>
      <w:spacing w:before="200" w:after="0" w:line="280" w:lineRule="exact"/>
      <w:jc w:val="both"/>
    </w:pPr>
    <w:rPr>
      <w:rFonts w:ascii="Arial" w:hAnsi="Arial"/>
      <w:b/>
      <w:sz w:val="20"/>
      <w:szCs w:val="20"/>
    </w:rPr>
  </w:style>
  <w:style w:type="character" w:customStyle="1" w:styleId="Dtitle3Char">
    <w:name w:val="D_title 3 Char"/>
    <w:basedOn w:val="DefaultParagraphFont"/>
    <w:link w:val="Dtitle3"/>
    <w:rsid w:val="003857AB"/>
    <w:rPr>
      <w:rFonts w:ascii="Arial" w:hAnsi="Arial"/>
      <w:b/>
      <w:sz w:val="20"/>
      <w:szCs w:val="20"/>
    </w:rPr>
  </w:style>
  <w:style w:type="paragraph" w:customStyle="1" w:styleId="xmsonormal0">
    <w:name w:val="xmsonormal"/>
    <w:basedOn w:val="Normal"/>
    <w:rsid w:val="00CE7B28"/>
    <w:pPr>
      <w:spacing w:after="0" w:line="240" w:lineRule="auto"/>
    </w:pPr>
    <w:rPr>
      <w:rFonts w:ascii="Calibri" w:hAnsi="Calibri" w:cs="Calibri"/>
      <w:lang w:eastAsia="fi-FI"/>
    </w:rPr>
  </w:style>
  <w:style w:type="character" w:styleId="IntenseEmphasis">
    <w:name w:val="Intense Emphasis"/>
    <w:basedOn w:val="DefaultParagraphFont"/>
    <w:uiPriority w:val="21"/>
    <w:qFormat/>
    <w:rsid w:val="00C00794"/>
    <w:rPr>
      <w:i/>
      <w:iCs/>
      <w:color w:val="5B9BD5" w:themeColor="accent1"/>
    </w:rPr>
  </w:style>
  <w:style w:type="character" w:styleId="UnresolvedMention">
    <w:name w:val="Unresolved Mention"/>
    <w:basedOn w:val="DefaultParagraphFont"/>
    <w:uiPriority w:val="99"/>
    <w:semiHidden/>
    <w:unhideWhenUsed/>
    <w:rsid w:val="00E6610D"/>
    <w:rPr>
      <w:color w:val="605E5C"/>
      <w:shd w:val="clear" w:color="auto" w:fill="E1DFDD"/>
    </w:rPr>
  </w:style>
  <w:style w:type="paragraph" w:styleId="Revision">
    <w:name w:val="Revision"/>
    <w:hidden/>
    <w:uiPriority w:val="99"/>
    <w:semiHidden/>
    <w:rsid w:val="00597AC5"/>
    <w:pPr>
      <w:spacing w:after="0" w:line="240" w:lineRule="auto"/>
    </w:pPr>
  </w:style>
  <w:style w:type="character" w:styleId="Emphasis">
    <w:name w:val="Emphasis"/>
    <w:basedOn w:val="DefaultParagraphFont"/>
    <w:uiPriority w:val="20"/>
    <w:qFormat/>
    <w:rsid w:val="00D32192"/>
    <w:rPr>
      <w:i/>
      <w:iCs/>
    </w:rPr>
  </w:style>
  <w:style w:type="character" w:customStyle="1" w:styleId="Heading1Char">
    <w:name w:val="Heading 1 Char"/>
    <w:basedOn w:val="DefaultParagraphFont"/>
    <w:link w:val="Heading1"/>
    <w:uiPriority w:val="9"/>
    <w:rsid w:val="007433B8"/>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6903">
      <w:bodyDiv w:val="1"/>
      <w:marLeft w:val="0"/>
      <w:marRight w:val="0"/>
      <w:marTop w:val="0"/>
      <w:marBottom w:val="0"/>
      <w:divBdr>
        <w:top w:val="none" w:sz="0" w:space="0" w:color="auto"/>
        <w:left w:val="none" w:sz="0" w:space="0" w:color="auto"/>
        <w:bottom w:val="none" w:sz="0" w:space="0" w:color="auto"/>
        <w:right w:val="none" w:sz="0" w:space="0" w:color="auto"/>
      </w:divBdr>
      <w:divsChild>
        <w:div w:id="831332447">
          <w:marLeft w:val="0"/>
          <w:marRight w:val="0"/>
          <w:marTop w:val="0"/>
          <w:marBottom w:val="0"/>
          <w:divBdr>
            <w:top w:val="single" w:sz="2" w:space="0" w:color="E5E7EB"/>
            <w:left w:val="single" w:sz="2" w:space="0" w:color="E5E7EB"/>
            <w:bottom w:val="single" w:sz="2" w:space="0" w:color="E5E7EB"/>
            <w:right w:val="single" w:sz="2" w:space="0" w:color="E5E7EB"/>
          </w:divBdr>
          <w:divsChild>
            <w:div w:id="29710587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45761223">
      <w:bodyDiv w:val="1"/>
      <w:marLeft w:val="0"/>
      <w:marRight w:val="0"/>
      <w:marTop w:val="0"/>
      <w:marBottom w:val="0"/>
      <w:divBdr>
        <w:top w:val="none" w:sz="0" w:space="0" w:color="auto"/>
        <w:left w:val="none" w:sz="0" w:space="0" w:color="auto"/>
        <w:bottom w:val="none" w:sz="0" w:space="0" w:color="auto"/>
        <w:right w:val="none" w:sz="0" w:space="0" w:color="auto"/>
      </w:divBdr>
    </w:div>
    <w:div w:id="126943581">
      <w:bodyDiv w:val="1"/>
      <w:marLeft w:val="0"/>
      <w:marRight w:val="0"/>
      <w:marTop w:val="0"/>
      <w:marBottom w:val="0"/>
      <w:divBdr>
        <w:top w:val="none" w:sz="0" w:space="0" w:color="auto"/>
        <w:left w:val="none" w:sz="0" w:space="0" w:color="auto"/>
        <w:bottom w:val="none" w:sz="0" w:space="0" w:color="auto"/>
        <w:right w:val="none" w:sz="0" w:space="0" w:color="auto"/>
      </w:divBdr>
    </w:div>
    <w:div w:id="133840162">
      <w:bodyDiv w:val="1"/>
      <w:marLeft w:val="0"/>
      <w:marRight w:val="0"/>
      <w:marTop w:val="0"/>
      <w:marBottom w:val="0"/>
      <w:divBdr>
        <w:top w:val="none" w:sz="0" w:space="0" w:color="auto"/>
        <w:left w:val="none" w:sz="0" w:space="0" w:color="auto"/>
        <w:bottom w:val="none" w:sz="0" w:space="0" w:color="auto"/>
        <w:right w:val="none" w:sz="0" w:space="0" w:color="auto"/>
      </w:divBdr>
    </w:div>
    <w:div w:id="194317844">
      <w:bodyDiv w:val="1"/>
      <w:marLeft w:val="0"/>
      <w:marRight w:val="0"/>
      <w:marTop w:val="0"/>
      <w:marBottom w:val="0"/>
      <w:divBdr>
        <w:top w:val="none" w:sz="0" w:space="0" w:color="auto"/>
        <w:left w:val="none" w:sz="0" w:space="0" w:color="auto"/>
        <w:bottom w:val="none" w:sz="0" w:space="0" w:color="auto"/>
        <w:right w:val="none" w:sz="0" w:space="0" w:color="auto"/>
      </w:divBdr>
    </w:div>
    <w:div w:id="366486132">
      <w:bodyDiv w:val="1"/>
      <w:marLeft w:val="0"/>
      <w:marRight w:val="0"/>
      <w:marTop w:val="0"/>
      <w:marBottom w:val="0"/>
      <w:divBdr>
        <w:top w:val="none" w:sz="0" w:space="0" w:color="auto"/>
        <w:left w:val="none" w:sz="0" w:space="0" w:color="auto"/>
        <w:bottom w:val="none" w:sz="0" w:space="0" w:color="auto"/>
        <w:right w:val="none" w:sz="0" w:space="0" w:color="auto"/>
      </w:divBdr>
    </w:div>
    <w:div w:id="371350778">
      <w:bodyDiv w:val="1"/>
      <w:marLeft w:val="0"/>
      <w:marRight w:val="0"/>
      <w:marTop w:val="0"/>
      <w:marBottom w:val="0"/>
      <w:divBdr>
        <w:top w:val="none" w:sz="0" w:space="0" w:color="auto"/>
        <w:left w:val="none" w:sz="0" w:space="0" w:color="auto"/>
        <w:bottom w:val="none" w:sz="0" w:space="0" w:color="auto"/>
        <w:right w:val="none" w:sz="0" w:space="0" w:color="auto"/>
      </w:divBdr>
    </w:div>
    <w:div w:id="730080727">
      <w:bodyDiv w:val="1"/>
      <w:marLeft w:val="0"/>
      <w:marRight w:val="0"/>
      <w:marTop w:val="0"/>
      <w:marBottom w:val="0"/>
      <w:divBdr>
        <w:top w:val="none" w:sz="0" w:space="0" w:color="auto"/>
        <w:left w:val="none" w:sz="0" w:space="0" w:color="auto"/>
        <w:bottom w:val="none" w:sz="0" w:space="0" w:color="auto"/>
        <w:right w:val="none" w:sz="0" w:space="0" w:color="auto"/>
      </w:divBdr>
    </w:div>
    <w:div w:id="760176976">
      <w:bodyDiv w:val="1"/>
      <w:marLeft w:val="0"/>
      <w:marRight w:val="0"/>
      <w:marTop w:val="0"/>
      <w:marBottom w:val="0"/>
      <w:divBdr>
        <w:top w:val="none" w:sz="0" w:space="0" w:color="auto"/>
        <w:left w:val="none" w:sz="0" w:space="0" w:color="auto"/>
        <w:bottom w:val="none" w:sz="0" w:space="0" w:color="auto"/>
        <w:right w:val="none" w:sz="0" w:space="0" w:color="auto"/>
      </w:divBdr>
    </w:div>
    <w:div w:id="792283318">
      <w:bodyDiv w:val="1"/>
      <w:marLeft w:val="0"/>
      <w:marRight w:val="0"/>
      <w:marTop w:val="0"/>
      <w:marBottom w:val="0"/>
      <w:divBdr>
        <w:top w:val="none" w:sz="0" w:space="0" w:color="auto"/>
        <w:left w:val="none" w:sz="0" w:space="0" w:color="auto"/>
        <w:bottom w:val="none" w:sz="0" w:space="0" w:color="auto"/>
        <w:right w:val="none" w:sz="0" w:space="0" w:color="auto"/>
      </w:divBdr>
    </w:div>
    <w:div w:id="807355074">
      <w:bodyDiv w:val="1"/>
      <w:marLeft w:val="0"/>
      <w:marRight w:val="0"/>
      <w:marTop w:val="0"/>
      <w:marBottom w:val="0"/>
      <w:divBdr>
        <w:top w:val="none" w:sz="0" w:space="0" w:color="auto"/>
        <w:left w:val="none" w:sz="0" w:space="0" w:color="auto"/>
        <w:bottom w:val="none" w:sz="0" w:space="0" w:color="auto"/>
        <w:right w:val="none" w:sz="0" w:space="0" w:color="auto"/>
      </w:divBdr>
    </w:div>
    <w:div w:id="837231501">
      <w:bodyDiv w:val="1"/>
      <w:marLeft w:val="0"/>
      <w:marRight w:val="0"/>
      <w:marTop w:val="0"/>
      <w:marBottom w:val="0"/>
      <w:divBdr>
        <w:top w:val="none" w:sz="0" w:space="0" w:color="auto"/>
        <w:left w:val="none" w:sz="0" w:space="0" w:color="auto"/>
        <w:bottom w:val="none" w:sz="0" w:space="0" w:color="auto"/>
        <w:right w:val="none" w:sz="0" w:space="0" w:color="auto"/>
      </w:divBdr>
      <w:divsChild>
        <w:div w:id="11155299">
          <w:marLeft w:val="0"/>
          <w:marRight w:val="0"/>
          <w:marTop w:val="0"/>
          <w:marBottom w:val="0"/>
          <w:divBdr>
            <w:top w:val="none" w:sz="0" w:space="0" w:color="auto"/>
            <w:left w:val="none" w:sz="0" w:space="0" w:color="auto"/>
            <w:bottom w:val="none" w:sz="0" w:space="0" w:color="auto"/>
            <w:right w:val="none" w:sz="0" w:space="0" w:color="auto"/>
          </w:divBdr>
        </w:div>
        <w:div w:id="128977957">
          <w:marLeft w:val="0"/>
          <w:marRight w:val="0"/>
          <w:marTop w:val="0"/>
          <w:marBottom w:val="0"/>
          <w:divBdr>
            <w:top w:val="none" w:sz="0" w:space="0" w:color="auto"/>
            <w:left w:val="none" w:sz="0" w:space="0" w:color="auto"/>
            <w:bottom w:val="none" w:sz="0" w:space="0" w:color="auto"/>
            <w:right w:val="none" w:sz="0" w:space="0" w:color="auto"/>
          </w:divBdr>
        </w:div>
        <w:div w:id="1886789405">
          <w:marLeft w:val="0"/>
          <w:marRight w:val="0"/>
          <w:marTop w:val="0"/>
          <w:marBottom w:val="0"/>
          <w:divBdr>
            <w:top w:val="none" w:sz="0" w:space="0" w:color="auto"/>
            <w:left w:val="none" w:sz="0" w:space="0" w:color="auto"/>
            <w:bottom w:val="none" w:sz="0" w:space="0" w:color="auto"/>
            <w:right w:val="none" w:sz="0" w:space="0" w:color="auto"/>
          </w:divBdr>
        </w:div>
        <w:div w:id="2019965996">
          <w:marLeft w:val="0"/>
          <w:marRight w:val="0"/>
          <w:marTop w:val="0"/>
          <w:marBottom w:val="0"/>
          <w:divBdr>
            <w:top w:val="none" w:sz="0" w:space="0" w:color="auto"/>
            <w:left w:val="none" w:sz="0" w:space="0" w:color="auto"/>
            <w:bottom w:val="none" w:sz="0" w:space="0" w:color="auto"/>
            <w:right w:val="none" w:sz="0" w:space="0" w:color="auto"/>
          </w:divBdr>
        </w:div>
      </w:divsChild>
    </w:div>
    <w:div w:id="916673674">
      <w:bodyDiv w:val="1"/>
      <w:marLeft w:val="0"/>
      <w:marRight w:val="0"/>
      <w:marTop w:val="0"/>
      <w:marBottom w:val="0"/>
      <w:divBdr>
        <w:top w:val="none" w:sz="0" w:space="0" w:color="auto"/>
        <w:left w:val="none" w:sz="0" w:space="0" w:color="auto"/>
        <w:bottom w:val="none" w:sz="0" w:space="0" w:color="auto"/>
        <w:right w:val="none" w:sz="0" w:space="0" w:color="auto"/>
      </w:divBdr>
    </w:div>
    <w:div w:id="1023437619">
      <w:bodyDiv w:val="1"/>
      <w:marLeft w:val="0"/>
      <w:marRight w:val="0"/>
      <w:marTop w:val="0"/>
      <w:marBottom w:val="0"/>
      <w:divBdr>
        <w:top w:val="none" w:sz="0" w:space="0" w:color="auto"/>
        <w:left w:val="none" w:sz="0" w:space="0" w:color="auto"/>
        <w:bottom w:val="none" w:sz="0" w:space="0" w:color="auto"/>
        <w:right w:val="none" w:sz="0" w:space="0" w:color="auto"/>
      </w:divBdr>
    </w:div>
    <w:div w:id="1042748848">
      <w:bodyDiv w:val="1"/>
      <w:marLeft w:val="0"/>
      <w:marRight w:val="0"/>
      <w:marTop w:val="0"/>
      <w:marBottom w:val="0"/>
      <w:divBdr>
        <w:top w:val="none" w:sz="0" w:space="0" w:color="auto"/>
        <w:left w:val="none" w:sz="0" w:space="0" w:color="auto"/>
        <w:bottom w:val="none" w:sz="0" w:space="0" w:color="auto"/>
        <w:right w:val="none" w:sz="0" w:space="0" w:color="auto"/>
      </w:divBdr>
    </w:div>
    <w:div w:id="1082138751">
      <w:bodyDiv w:val="1"/>
      <w:marLeft w:val="0"/>
      <w:marRight w:val="0"/>
      <w:marTop w:val="0"/>
      <w:marBottom w:val="0"/>
      <w:divBdr>
        <w:top w:val="none" w:sz="0" w:space="0" w:color="auto"/>
        <w:left w:val="none" w:sz="0" w:space="0" w:color="auto"/>
        <w:bottom w:val="none" w:sz="0" w:space="0" w:color="auto"/>
        <w:right w:val="none" w:sz="0" w:space="0" w:color="auto"/>
      </w:divBdr>
    </w:div>
    <w:div w:id="1132863093">
      <w:bodyDiv w:val="1"/>
      <w:marLeft w:val="0"/>
      <w:marRight w:val="0"/>
      <w:marTop w:val="0"/>
      <w:marBottom w:val="0"/>
      <w:divBdr>
        <w:top w:val="none" w:sz="0" w:space="0" w:color="auto"/>
        <w:left w:val="none" w:sz="0" w:space="0" w:color="auto"/>
        <w:bottom w:val="none" w:sz="0" w:space="0" w:color="auto"/>
        <w:right w:val="none" w:sz="0" w:space="0" w:color="auto"/>
      </w:divBdr>
    </w:div>
    <w:div w:id="1196622445">
      <w:bodyDiv w:val="1"/>
      <w:marLeft w:val="0"/>
      <w:marRight w:val="0"/>
      <w:marTop w:val="0"/>
      <w:marBottom w:val="0"/>
      <w:divBdr>
        <w:top w:val="none" w:sz="0" w:space="0" w:color="auto"/>
        <w:left w:val="none" w:sz="0" w:space="0" w:color="auto"/>
        <w:bottom w:val="none" w:sz="0" w:space="0" w:color="auto"/>
        <w:right w:val="none" w:sz="0" w:space="0" w:color="auto"/>
      </w:divBdr>
    </w:div>
    <w:div w:id="1282150759">
      <w:bodyDiv w:val="1"/>
      <w:marLeft w:val="0"/>
      <w:marRight w:val="0"/>
      <w:marTop w:val="0"/>
      <w:marBottom w:val="0"/>
      <w:divBdr>
        <w:top w:val="none" w:sz="0" w:space="0" w:color="auto"/>
        <w:left w:val="none" w:sz="0" w:space="0" w:color="auto"/>
        <w:bottom w:val="none" w:sz="0" w:space="0" w:color="auto"/>
        <w:right w:val="none" w:sz="0" w:space="0" w:color="auto"/>
      </w:divBdr>
    </w:div>
    <w:div w:id="1306742046">
      <w:bodyDiv w:val="1"/>
      <w:marLeft w:val="0"/>
      <w:marRight w:val="0"/>
      <w:marTop w:val="0"/>
      <w:marBottom w:val="0"/>
      <w:divBdr>
        <w:top w:val="none" w:sz="0" w:space="0" w:color="auto"/>
        <w:left w:val="none" w:sz="0" w:space="0" w:color="auto"/>
        <w:bottom w:val="none" w:sz="0" w:space="0" w:color="auto"/>
        <w:right w:val="none" w:sz="0" w:space="0" w:color="auto"/>
      </w:divBdr>
    </w:div>
    <w:div w:id="1387148443">
      <w:bodyDiv w:val="1"/>
      <w:marLeft w:val="0"/>
      <w:marRight w:val="0"/>
      <w:marTop w:val="0"/>
      <w:marBottom w:val="0"/>
      <w:divBdr>
        <w:top w:val="none" w:sz="0" w:space="0" w:color="auto"/>
        <w:left w:val="none" w:sz="0" w:space="0" w:color="auto"/>
        <w:bottom w:val="none" w:sz="0" w:space="0" w:color="auto"/>
        <w:right w:val="none" w:sz="0" w:space="0" w:color="auto"/>
      </w:divBdr>
    </w:div>
    <w:div w:id="1437477338">
      <w:bodyDiv w:val="1"/>
      <w:marLeft w:val="0"/>
      <w:marRight w:val="0"/>
      <w:marTop w:val="0"/>
      <w:marBottom w:val="0"/>
      <w:divBdr>
        <w:top w:val="none" w:sz="0" w:space="0" w:color="auto"/>
        <w:left w:val="none" w:sz="0" w:space="0" w:color="auto"/>
        <w:bottom w:val="none" w:sz="0" w:space="0" w:color="auto"/>
        <w:right w:val="none" w:sz="0" w:space="0" w:color="auto"/>
      </w:divBdr>
    </w:div>
    <w:div w:id="1445802703">
      <w:bodyDiv w:val="1"/>
      <w:marLeft w:val="0"/>
      <w:marRight w:val="0"/>
      <w:marTop w:val="0"/>
      <w:marBottom w:val="0"/>
      <w:divBdr>
        <w:top w:val="none" w:sz="0" w:space="0" w:color="auto"/>
        <w:left w:val="none" w:sz="0" w:space="0" w:color="auto"/>
        <w:bottom w:val="none" w:sz="0" w:space="0" w:color="auto"/>
        <w:right w:val="none" w:sz="0" w:space="0" w:color="auto"/>
      </w:divBdr>
    </w:div>
    <w:div w:id="1473060755">
      <w:bodyDiv w:val="1"/>
      <w:marLeft w:val="0"/>
      <w:marRight w:val="0"/>
      <w:marTop w:val="0"/>
      <w:marBottom w:val="0"/>
      <w:divBdr>
        <w:top w:val="none" w:sz="0" w:space="0" w:color="auto"/>
        <w:left w:val="none" w:sz="0" w:space="0" w:color="auto"/>
        <w:bottom w:val="none" w:sz="0" w:space="0" w:color="auto"/>
        <w:right w:val="none" w:sz="0" w:space="0" w:color="auto"/>
      </w:divBdr>
    </w:div>
    <w:div w:id="1528103027">
      <w:bodyDiv w:val="1"/>
      <w:marLeft w:val="0"/>
      <w:marRight w:val="0"/>
      <w:marTop w:val="0"/>
      <w:marBottom w:val="0"/>
      <w:divBdr>
        <w:top w:val="none" w:sz="0" w:space="0" w:color="auto"/>
        <w:left w:val="none" w:sz="0" w:space="0" w:color="auto"/>
        <w:bottom w:val="none" w:sz="0" w:space="0" w:color="auto"/>
        <w:right w:val="none" w:sz="0" w:space="0" w:color="auto"/>
      </w:divBdr>
    </w:div>
    <w:div w:id="1579170072">
      <w:bodyDiv w:val="1"/>
      <w:marLeft w:val="0"/>
      <w:marRight w:val="0"/>
      <w:marTop w:val="0"/>
      <w:marBottom w:val="0"/>
      <w:divBdr>
        <w:top w:val="none" w:sz="0" w:space="0" w:color="auto"/>
        <w:left w:val="none" w:sz="0" w:space="0" w:color="auto"/>
        <w:bottom w:val="none" w:sz="0" w:space="0" w:color="auto"/>
        <w:right w:val="none" w:sz="0" w:space="0" w:color="auto"/>
      </w:divBdr>
    </w:div>
    <w:div w:id="1627808488">
      <w:bodyDiv w:val="1"/>
      <w:marLeft w:val="0"/>
      <w:marRight w:val="0"/>
      <w:marTop w:val="0"/>
      <w:marBottom w:val="0"/>
      <w:divBdr>
        <w:top w:val="none" w:sz="0" w:space="0" w:color="auto"/>
        <w:left w:val="none" w:sz="0" w:space="0" w:color="auto"/>
        <w:bottom w:val="none" w:sz="0" w:space="0" w:color="auto"/>
        <w:right w:val="none" w:sz="0" w:space="0" w:color="auto"/>
      </w:divBdr>
    </w:div>
    <w:div w:id="1629779953">
      <w:bodyDiv w:val="1"/>
      <w:marLeft w:val="0"/>
      <w:marRight w:val="0"/>
      <w:marTop w:val="0"/>
      <w:marBottom w:val="0"/>
      <w:divBdr>
        <w:top w:val="none" w:sz="0" w:space="0" w:color="auto"/>
        <w:left w:val="none" w:sz="0" w:space="0" w:color="auto"/>
        <w:bottom w:val="none" w:sz="0" w:space="0" w:color="auto"/>
        <w:right w:val="none" w:sz="0" w:space="0" w:color="auto"/>
      </w:divBdr>
    </w:div>
    <w:div w:id="1696153274">
      <w:bodyDiv w:val="1"/>
      <w:marLeft w:val="0"/>
      <w:marRight w:val="0"/>
      <w:marTop w:val="0"/>
      <w:marBottom w:val="0"/>
      <w:divBdr>
        <w:top w:val="none" w:sz="0" w:space="0" w:color="auto"/>
        <w:left w:val="none" w:sz="0" w:space="0" w:color="auto"/>
        <w:bottom w:val="none" w:sz="0" w:space="0" w:color="auto"/>
        <w:right w:val="none" w:sz="0" w:space="0" w:color="auto"/>
      </w:divBdr>
    </w:div>
    <w:div w:id="1706364007">
      <w:bodyDiv w:val="1"/>
      <w:marLeft w:val="0"/>
      <w:marRight w:val="0"/>
      <w:marTop w:val="0"/>
      <w:marBottom w:val="0"/>
      <w:divBdr>
        <w:top w:val="none" w:sz="0" w:space="0" w:color="auto"/>
        <w:left w:val="none" w:sz="0" w:space="0" w:color="auto"/>
        <w:bottom w:val="none" w:sz="0" w:space="0" w:color="auto"/>
        <w:right w:val="none" w:sz="0" w:space="0" w:color="auto"/>
      </w:divBdr>
    </w:div>
    <w:div w:id="1740207931">
      <w:bodyDiv w:val="1"/>
      <w:marLeft w:val="0"/>
      <w:marRight w:val="0"/>
      <w:marTop w:val="0"/>
      <w:marBottom w:val="0"/>
      <w:divBdr>
        <w:top w:val="none" w:sz="0" w:space="0" w:color="auto"/>
        <w:left w:val="none" w:sz="0" w:space="0" w:color="auto"/>
        <w:bottom w:val="none" w:sz="0" w:space="0" w:color="auto"/>
        <w:right w:val="none" w:sz="0" w:space="0" w:color="auto"/>
      </w:divBdr>
    </w:div>
    <w:div w:id="1841236050">
      <w:bodyDiv w:val="1"/>
      <w:marLeft w:val="0"/>
      <w:marRight w:val="0"/>
      <w:marTop w:val="0"/>
      <w:marBottom w:val="0"/>
      <w:divBdr>
        <w:top w:val="none" w:sz="0" w:space="0" w:color="auto"/>
        <w:left w:val="none" w:sz="0" w:space="0" w:color="auto"/>
        <w:bottom w:val="none" w:sz="0" w:space="0" w:color="auto"/>
        <w:right w:val="none" w:sz="0" w:space="0" w:color="auto"/>
      </w:divBdr>
    </w:div>
    <w:div w:id="18875276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kirjaamo@jyu.fi" TargetMode="External"/><Relationship Id="rId13" Type="http://schemas.openxmlformats.org/officeDocument/2006/relationships/hyperlink" Target="https://wiki.eduuni.fi/pages/viewpage.action?pageId=159321559" TargetMode="External"/><Relationship Id="rId18" Type="http://schemas.openxmlformats.org/officeDocument/2006/relationships/hyperlink" Target="https://www.jyu.fi/digipalvelut/fi/ohjeet/ohjelmistot/google-apps/google-apps-tunnus"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www.keg.com/data/sub-processor-overview" TargetMode="External"/><Relationship Id="rId7" Type="http://schemas.openxmlformats.org/officeDocument/2006/relationships/endnotes" Target="endnotes.xml"/><Relationship Id="rId12" Type="http://schemas.openxmlformats.org/officeDocument/2006/relationships/hyperlink" Target="https://wiki.eduuni.fi/pages/viewpage.action?pageId=266422071" TargetMode="External"/><Relationship Id="rId17" Type="http://schemas.openxmlformats.org/officeDocument/2006/relationships/hyperlink" Target="https://wiki.eduuni.fi/pages/viewpage.action?pageId=58185222" TargetMode="External"/><Relationship Id="rId25" Type="http://schemas.openxmlformats.org/officeDocument/2006/relationships/hyperlink" Target="https://wisteconline.fi/mod/page/view.php?id=11552" TargetMode="External"/><Relationship Id="rId2" Type="http://schemas.openxmlformats.org/officeDocument/2006/relationships/numbering" Target="numbering.xml"/><Relationship Id="rId16" Type="http://schemas.openxmlformats.org/officeDocument/2006/relationships/hyperlink" Target="https://www.eduroam.fi/eduroam-privacy-framework-funet.pdf" TargetMode="External"/><Relationship Id="rId20" Type="http://schemas.openxmlformats.org/officeDocument/2006/relationships/hyperlink" Target="https://www.keg.com/data/sub-processor-overview"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iki.eduuni.fi/pages/viewpage.action?pageId=70201606" TargetMode="External"/><Relationship Id="rId24" Type="http://schemas.openxmlformats.org/officeDocument/2006/relationships/hyperlink" Target="https://www.visma.fi/yksityisyydensuoja/etusivu/" TargetMode="External"/><Relationship Id="rId5" Type="http://schemas.openxmlformats.org/officeDocument/2006/relationships/webSettings" Target="webSettings.xml"/><Relationship Id="rId15" Type="http://schemas.openxmlformats.org/officeDocument/2006/relationships/hyperlink" Target="https://filesender.funet.fi/privacypolicy.html" TargetMode="External"/><Relationship Id="rId23" Type="http://schemas.openxmlformats.org/officeDocument/2006/relationships/hyperlink" Target="https://eur03.safelinks.protection.outlook.com/?url=https%3A%2F%2Forcid.org%2F&amp;data=04%7C01%7C%7Ca779452526af4d43b75208d97107389d%7Ce9662d58caa44bc1b138c8b1acab5a11%7C1%7C0%7C637665098099953759%7CUnknown%7CTWFpbGZsb3d8eyJWIjoiMC4wLjAwMDAiLCJQIjoiV2luMzIiLCJBTiI6Ik1haWwiLCJXVCI6Mn0%3D%7C1000&amp;sdata=k2c651fFxJw2bt2sWN9Yo9dHrIWOReaVw3A%2FhRGt6TQ%3D&amp;reserved=0" TargetMode="External"/><Relationship Id="rId28" Type="http://schemas.openxmlformats.org/officeDocument/2006/relationships/fontTable" Target="fontTable.xml"/><Relationship Id="rId10" Type="http://schemas.openxmlformats.org/officeDocument/2006/relationships/hyperlink" Target="https://wiki.eduuni.fi/pages/viewpage.action?pageId=72516126" TargetMode="External"/><Relationship Id="rId19" Type="http://schemas.openxmlformats.org/officeDocument/2006/relationships/hyperlink" Target="https://workspace.google.com/terms/dpa_terms.html" TargetMode="External"/><Relationship Id="rId4" Type="http://schemas.openxmlformats.org/officeDocument/2006/relationships/settings" Target="settings.xml"/><Relationship Id="rId9" Type="http://schemas.openxmlformats.org/officeDocument/2006/relationships/hyperlink" Target="https://www.jyu.fi/fi/yliopisto/tietosuojailmoitus/bem" TargetMode="External"/><Relationship Id="rId14" Type="http://schemas.openxmlformats.org/officeDocument/2006/relationships/hyperlink" Target="https://wiki.eduuni.fi/display/CSCEXAM/EXAM" TargetMode="External"/><Relationship Id="rId22" Type="http://schemas.openxmlformats.org/officeDocument/2006/relationships/hyperlink" Target="https://learn.microsoft.com/en-us/privacy/eudb/eu-data-boundary-learn"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C327B5-F516-4D90-A703-CA10A1D9C622}">
  <ds:schemaRefs>
    <ds:schemaRef ds:uri="http://schemas.openxmlformats.org/officeDocument/2006/bibliography"/>
  </ds:schemaRefs>
</ds:datastoreItem>
</file>

<file path=docMetadata/LabelInfo.xml><?xml version="1.0" encoding="utf-8"?>
<clbl:labelList xmlns:clbl="http://schemas.microsoft.com/office/2020/mipLabelMetadata">
  <clbl:label id="{f98a487e-ccec-4222-88ca-56dc432d7a91}" enabled="1" method="Privileged" siteId="{e9662d58-caa4-4bc1-b138-c8b1acab5a11}"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24</Pages>
  <Words>4237</Words>
  <Characters>34322</Characters>
  <Application>Microsoft Office Word</Application>
  <DocSecurity>0</DocSecurity>
  <Lines>286</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2025-12-16T13:28:00Z</dcterms:created>
  <dcterms:modified xsi:type="dcterms:W3CDTF">2025-12-16T13:44:00Z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475a4fe075d2849ee7f513e1722bc697ae2ec6cba6a23d00015749a736774427</vt:lpwstr>
  </property>
</Properties>
</file>